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A52D62">
      <w:pPr>
        <w:pStyle w:val="3"/>
        <w:spacing w:before="0" w:line="240" w:lineRule="auto"/>
        <w:ind w:firstLine="709"/>
        <w:jc w:val="center"/>
        <w:rPr>
          <w:rFonts w:ascii="Times New Roman" w:hAnsi="Times New Roman" w:cs="Times New Roman"/>
          <w:bCs w:val="0"/>
          <w:color w:val="auto"/>
          <w:sz w:val="28"/>
          <w:szCs w:val="28"/>
        </w:rPr>
      </w:pPr>
      <w:bookmarkStart w:id="0" w:name="_Toc176354890"/>
      <w:r>
        <w:rPr>
          <w:rFonts w:ascii="Times New Roman" w:hAnsi="Times New Roman" w:cs="Times New Roman"/>
          <w:bCs w:val="0"/>
          <w:color w:val="auto"/>
          <w:sz w:val="28"/>
          <w:szCs w:val="28"/>
        </w:rPr>
        <w:t xml:space="preserve">Положение </w:t>
      </w:r>
    </w:p>
    <w:p w14:paraId="41A52ECA">
      <w:pPr>
        <w:pStyle w:val="3"/>
        <w:spacing w:before="0" w:line="240" w:lineRule="auto"/>
        <w:ind w:firstLine="709"/>
        <w:jc w:val="center"/>
        <w:rPr>
          <w:rFonts w:ascii="Times New Roman" w:hAnsi="Times New Roman" w:eastAsia="Times New Roman" w:cs="Times New Roman"/>
          <w:bCs w:val="0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bCs w:val="0"/>
          <w:color w:val="auto"/>
          <w:sz w:val="28"/>
          <w:szCs w:val="28"/>
        </w:rPr>
        <w:t xml:space="preserve">о проведении окружного этапа Всероссийского конкурса юных исследователей окружающей среды </w:t>
      </w:r>
      <w:bookmarkEnd w:id="0"/>
      <w:r>
        <w:rPr>
          <w:rFonts w:ascii="Times New Roman" w:hAnsi="Times New Roman" w:eastAsia="Times New Roman" w:cs="Times New Roman"/>
          <w:bCs w:val="0"/>
          <w:color w:val="auto"/>
          <w:sz w:val="28"/>
          <w:szCs w:val="28"/>
        </w:rPr>
        <w:t>им. Б.В. Всесвятского</w:t>
      </w:r>
    </w:p>
    <w:p w14:paraId="097901CD">
      <w:pPr>
        <w:pStyle w:val="3"/>
        <w:spacing w:before="0" w:line="240" w:lineRule="auto"/>
        <w:ind w:firstLine="709"/>
        <w:rPr>
          <w:rFonts w:ascii="Times New Roman" w:hAnsi="Times New Roman" w:eastAsia="Times New Roman" w:cs="Times New Roman"/>
          <w:b w:val="0"/>
          <w:bCs w:val="0"/>
          <w:color w:val="000000"/>
          <w:sz w:val="28"/>
          <w:szCs w:val="28"/>
        </w:rPr>
      </w:pPr>
    </w:p>
    <w:p w14:paraId="0399967F">
      <w:pPr>
        <w:spacing w:after="0" w:line="240" w:lineRule="auto"/>
        <w:ind w:firstLine="709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1. </w:t>
      </w:r>
      <w:r>
        <w:rPr>
          <w:rFonts w:ascii="Times New Roman" w:hAnsi="Times New Roman" w:eastAsia="Times New Roman"/>
          <w:b/>
          <w:bCs/>
          <w:sz w:val="24"/>
          <w:szCs w:val="24"/>
        </w:rPr>
        <w:t>Общие положения</w:t>
      </w:r>
    </w:p>
    <w:p w14:paraId="7FA3181E">
      <w:pPr>
        <w:spacing w:after="0" w:line="240" w:lineRule="auto"/>
        <w:ind w:firstLine="709"/>
        <w:contextualSpacing/>
        <w:jc w:val="both"/>
        <w:rPr>
          <w:rFonts w:ascii="Times New Roman" w:hAnsi="Times New Roman" w:eastAsia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1.1. Настоящее Положение определяет порядок организации и проведения городского этапа </w:t>
      </w:r>
      <w:r>
        <w:rPr>
          <w:rFonts w:ascii="Times New Roman" w:hAnsi="Times New Roman"/>
          <w:color w:val="000000"/>
          <w:sz w:val="24"/>
          <w:szCs w:val="24"/>
        </w:rPr>
        <w:t>Всероссийского конкурса юных исследователей окружающей среды</w:t>
      </w:r>
      <w:r>
        <w:rPr>
          <w:rFonts w:ascii="Times New Roman" w:hAnsi="Times New Roman"/>
          <w:bCs/>
          <w:sz w:val="24"/>
          <w:szCs w:val="24"/>
        </w:rPr>
        <w:t xml:space="preserve"> (далее – Конкурс), его организационное и методическое обеспечение, порядок участия в мероприятии, требования к работам участников, определение победителей и призеров</w:t>
      </w:r>
      <w:r>
        <w:rPr>
          <w:rFonts w:ascii="Times New Roman" w:hAnsi="Times New Roman"/>
          <w:bCs/>
          <w:i/>
          <w:sz w:val="24"/>
          <w:szCs w:val="24"/>
        </w:rPr>
        <w:t>.</w:t>
      </w:r>
      <w:r>
        <w:rPr>
          <w:rFonts w:ascii="Times New Roman" w:hAnsi="Times New Roman" w:eastAsia="Times New Roman"/>
          <w:bCs/>
          <w:sz w:val="24"/>
          <w:szCs w:val="24"/>
        </w:rPr>
        <w:t xml:space="preserve"> </w:t>
      </w:r>
    </w:p>
    <w:p w14:paraId="74DF2B1D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eastAsia="Times New Roman"/>
          <w:bCs/>
          <w:sz w:val="24"/>
          <w:szCs w:val="24"/>
        </w:rPr>
        <w:t xml:space="preserve">1.2. Положение действует на период проведения Конкурса. </w:t>
      </w:r>
    </w:p>
    <w:p w14:paraId="7C675909">
      <w:pPr>
        <w:spacing w:after="0" w:line="240" w:lineRule="auto"/>
        <w:ind w:firstLine="709"/>
        <w:contextualSpacing/>
        <w:jc w:val="both"/>
        <w:rPr>
          <w:rFonts w:ascii="Times New Roman" w:hAnsi="Times New Roman" w:eastAsia="Times New Roman"/>
          <w:b/>
          <w:bCs/>
          <w:sz w:val="24"/>
          <w:szCs w:val="24"/>
        </w:rPr>
      </w:pPr>
      <w:r>
        <w:rPr>
          <w:rFonts w:ascii="Times New Roman" w:hAnsi="Times New Roman" w:eastAsia="Times New Roman"/>
          <w:bCs/>
          <w:sz w:val="24"/>
          <w:szCs w:val="24"/>
        </w:rPr>
        <w:t>1.3. Организаторы Конкурса</w:t>
      </w:r>
    </w:p>
    <w:p w14:paraId="0EE9EEEB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Учредитель</w:t>
      </w:r>
      <w:r>
        <w:rPr>
          <w:rFonts w:ascii="Times New Roman" w:hAnsi="Times New Roman"/>
          <w:bCs/>
          <w:sz w:val="24"/>
          <w:szCs w:val="24"/>
        </w:rPr>
        <w:t>:</w:t>
      </w:r>
    </w:p>
    <w:p w14:paraId="032CC0BB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Департамент образования Администрации городского округа Самара (далее – Департамент образования).</w:t>
      </w:r>
    </w:p>
    <w:p w14:paraId="68E28052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Организатор:</w:t>
      </w:r>
    </w:p>
    <w:p w14:paraId="0FECFF76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Муниципальное бюджетное учреждение дополнительного образования «Центр детского творчества «Ирбис» г. о. Самара (далее – МБУ ДО ЦДТ «Ирбис» г.о. Самара).</w:t>
      </w:r>
    </w:p>
    <w:p w14:paraId="04F56B8E">
      <w:pPr>
        <w:spacing w:after="0" w:line="240" w:lineRule="auto"/>
        <w:ind w:firstLine="709"/>
        <w:jc w:val="both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 w:eastAsia="Times New Roman"/>
          <w:b/>
          <w:bCs/>
          <w:sz w:val="24"/>
          <w:szCs w:val="24"/>
          <w:lang w:eastAsia="ru-RU"/>
        </w:rPr>
        <w:t>Партнер:</w:t>
      </w:r>
    </w:p>
    <w:p w14:paraId="635F7B5C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Государственное бюджетное образовательное учреждение дополнительного образования детей </w:t>
      </w:r>
      <w:r>
        <w:rPr>
          <w:rFonts w:ascii="Times New Roman" w:hAnsi="Times New Roman"/>
          <w:sz w:val="24"/>
          <w:szCs w:val="24"/>
        </w:rPr>
        <w:t>Самарский</w:t>
      </w:r>
      <w:r>
        <w:rPr>
          <w:rFonts w:ascii="Times New Roman" w:hAnsi="Times New Roman"/>
          <w:bCs/>
          <w:sz w:val="24"/>
          <w:szCs w:val="24"/>
        </w:rPr>
        <w:t xml:space="preserve"> областной детский эколого-биологический центр (далее – ГБОУ ДОД СОДЭБЦ).</w:t>
      </w:r>
    </w:p>
    <w:p w14:paraId="170033E9">
      <w:pPr>
        <w:spacing w:after="0" w:line="240" w:lineRule="auto"/>
        <w:ind w:left="709"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1.4. Цели и задачи Конкурса</w:t>
      </w:r>
    </w:p>
    <w:p w14:paraId="7FEAF54F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 w:eastAsia="Times New Roman"/>
          <w:color w:val="000000"/>
          <w:sz w:val="24"/>
          <w:szCs w:val="24"/>
          <w:lang w:eastAsia="ru-RU"/>
        </w:rPr>
        <w:t>Конкурс проводится с целью привлечение детей и молодёжи к работе по изучению природных объектов (живых организмов и экосистем) и к практической деятельности по их сохранению, направленной на формирование у них экологически ответственного мировоззрения, на их личностную самореализацию и профессиональное самоопределение.</w:t>
      </w:r>
    </w:p>
    <w:p w14:paraId="4F2A5BD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eastAsia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eastAsia="Times New Roman"/>
          <w:color w:val="000000"/>
          <w:sz w:val="24"/>
          <w:szCs w:val="24"/>
          <w:lang w:eastAsia="ru-RU"/>
        </w:rPr>
        <w:t xml:space="preserve">Задачами Конкурса являются: </w:t>
      </w:r>
    </w:p>
    <w:p w14:paraId="13A3C584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 формирование у подрастающего поколения экологической культуры;</w:t>
      </w:r>
    </w:p>
    <w:p w14:paraId="1E308346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 содействие личностному саморазвитию и профессиональному самоопределению обучающихся в сфере дополнительного естественнонаучного образования;</w:t>
      </w:r>
    </w:p>
    <w:p w14:paraId="20426471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 выявление и поддержка талантливой молодёжи, обладающей глубокими естественнонаучными знаниями и творчески реализующей их в решении проблем сохранения природных и искусственно созданных экосистем и их компонентов;</w:t>
      </w:r>
    </w:p>
    <w:p w14:paraId="42E2C118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 привлечение внимания органов исполнительной власти и местного самоуправления, общественности и средств массовой информации к проблемам экологического воспитания и охраны окружающей среды;</w:t>
      </w:r>
    </w:p>
    <w:p w14:paraId="0E7FDF7B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 обмен опытом работы и установление творческих контактов между обучающимися и педагогами образовательных учреждений Самарской области.</w:t>
      </w:r>
    </w:p>
    <w:p w14:paraId="36809283">
      <w:pPr>
        <w:spacing w:after="0" w:line="240" w:lineRule="auto"/>
        <w:ind w:left="1429" w:firstLine="709"/>
        <w:contextualSpacing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16035531">
      <w:pPr>
        <w:spacing w:after="0" w:line="240" w:lineRule="auto"/>
        <w:ind w:left="1429" w:firstLine="709"/>
        <w:contextualSpacing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2. Сроки проведения Конкурса</w:t>
      </w:r>
    </w:p>
    <w:p w14:paraId="54EA76EC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2.1. Конкурс проводится с 3 октября по 31 октября 2025 года в соответствии с планом:</w:t>
      </w:r>
    </w:p>
    <w:tbl>
      <w:tblPr>
        <w:tblStyle w:val="24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8"/>
        <w:gridCol w:w="7053"/>
      </w:tblGrid>
      <w:tr w14:paraId="0D05D3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2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7FB73B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7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8DFCBF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Содержание деятельности</w:t>
            </w:r>
          </w:p>
        </w:tc>
      </w:tr>
      <w:tr w14:paraId="784F23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316A48F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 октября</w:t>
            </w:r>
          </w:p>
        </w:tc>
        <w:tc>
          <w:tcPr>
            <w:tcW w:w="7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9284DE5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Информирование о конкурсе, рассылка Положения</w:t>
            </w:r>
          </w:p>
        </w:tc>
      </w:tr>
      <w:tr w14:paraId="176CD9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8268477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1–21 октября</w:t>
            </w:r>
          </w:p>
        </w:tc>
        <w:tc>
          <w:tcPr>
            <w:tcW w:w="7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3958D08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/>
                <w:bCs/>
                <w:color w:val="0000FF" w:themeColor="hyperlink"/>
                <w:sz w:val="24"/>
                <w:szCs w:val="24"/>
                <w:u w:val="single"/>
                <w14:textFill>
                  <w14:solidFill>
                    <w14:schemeClr w14:val="hlink"/>
                  </w14:solidFill>
                </w14:textFill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 xml:space="preserve">Запись на мероприятие </w:t>
            </w:r>
            <w:r>
              <w:rPr>
                <w:rFonts w:ascii="Times New Roman" w:hAnsi="Times New Roman"/>
                <w:b/>
                <w:iCs/>
                <w:sz w:val="24"/>
                <w:szCs w:val="24"/>
                <w:lang w:eastAsia="ru-RU"/>
              </w:rPr>
              <w:t>обязательно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 xml:space="preserve"> должна осуществляться через сайт «Навигатор дополнительного образования детей Самарской области»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fldChar w:fldCharType="begin"/>
            </w:r>
            <w:r>
              <w:instrText xml:space="preserve"> HYPERLINK "https://goo.su/5nVxSP9" </w:instrText>
            </w:r>
            <w:r>
              <w:fldChar w:fldCharType="separate"/>
            </w:r>
            <w:r>
              <w:rPr>
                <w:rFonts w:ascii="Times New Roman" w:hAnsi="Times New Roman"/>
                <w:bCs/>
                <w:iCs/>
                <w:color w:val="0000FF" w:themeColor="hyperlink"/>
                <w:sz w:val="24"/>
                <w:szCs w:val="24"/>
                <w:u w:val="single"/>
                <w:lang w:eastAsia="ru-RU"/>
                <w14:textFill>
                  <w14:solidFill>
                    <w14:schemeClr w14:val="hlink"/>
                  </w14:solidFill>
                </w14:textFill>
              </w:rPr>
              <w:t>https://goo.su/5nVxSP9</w:t>
            </w:r>
            <w:r>
              <w:rPr>
                <w:rFonts w:ascii="Times New Roman" w:hAnsi="Times New Roman"/>
                <w:bCs/>
                <w:iCs/>
                <w:color w:val="0000FF" w:themeColor="hyperlink"/>
                <w:sz w:val="24"/>
                <w:szCs w:val="24"/>
                <w:u w:val="single"/>
                <w:lang w:eastAsia="ru-RU"/>
                <w14:textFill>
                  <w14:solidFill>
                    <w14:schemeClr w14:val="hlink"/>
                  </w14:solidFill>
                </w14:textFill>
              </w:rPr>
              <w:fldChar w:fldCharType="end"/>
            </w: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 xml:space="preserve">.        </w:t>
            </w:r>
          </w:p>
          <w:p w14:paraId="6C9706E0">
            <w:pPr>
              <w:widowControl w:val="0"/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Учащийся в возрасте 14 лет и старше может самостоятельно записаться на мероприятие в Навигаторе при условии наличия регистрации в Госуслугах и привязки учётной записи учащегося в АСУ РСО к Госуслугам.</w:t>
            </w:r>
          </w:p>
          <w:p w14:paraId="3160F590">
            <w:pPr>
              <w:widowControl w:val="0"/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Учащихся в возрасте до 14 лет записывают на мероприятие в Навигаторе родители.</w:t>
            </w:r>
          </w:p>
          <w:p w14:paraId="269167E6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FF" w:themeColor="hyperlink"/>
                <w:sz w:val="24"/>
                <w:szCs w:val="24"/>
                <w:u w:val="single"/>
                <w:lang w:eastAsia="ru-RU"/>
                <w14:textFill>
                  <w14:solidFill>
                    <w14:schemeClr w14:val="hlink"/>
                  </w14:solidFill>
                </w14:textFill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  Гугл-форма заполняется на каждого участника по номинациям. После того, как гугл-форма будет отправлена, на странице появится текст 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«Ответ записан»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. Если этот текст не появился, значит гугл-форма не была отправлена. Гугл-форма откроется если у вас есть гугл почта К гугл-форме прикрепляется</w:t>
            </w: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: </w:t>
            </w:r>
          </w:p>
          <w:p w14:paraId="36325BB0">
            <w:pPr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- заявка на участие в Конкурсе на бланке учреждения с печатью и подписью руководителя (скан)  (Приложение 1); </w:t>
            </w:r>
          </w:p>
          <w:p w14:paraId="20845E43">
            <w:pPr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краткая аннотация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конкурсной работы в формате doc;</w:t>
            </w:r>
          </w:p>
          <w:p w14:paraId="4DC82AC0">
            <w:pPr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- проверку на антиплагиат (скан);</w:t>
            </w:r>
          </w:p>
          <w:p w14:paraId="43F529DC">
            <w:pPr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- конкурсная работа в электронном виде в формате doc (docx), соответствующая требованиям.</w:t>
            </w:r>
          </w:p>
          <w:p w14:paraId="5A714337">
            <w:pPr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По отдельности расформированные документы (заявка, согласие, работа) на Конкурс не принимаются.</w:t>
            </w:r>
          </w:p>
          <w:p w14:paraId="64EC2915">
            <w:pPr>
              <w:spacing w:after="0" w:line="240" w:lineRule="auto"/>
              <w:ind w:firstLine="709"/>
              <w:jc w:val="both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Конкурсные работы, поступившие позднее указанного срока, а также с нарушениями, не рассматриваются.</w:t>
            </w:r>
          </w:p>
          <w:p w14:paraId="47FA7577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Представленные на Конкурс материалы не рецензируются. </w:t>
            </w:r>
          </w:p>
          <w:p w14:paraId="597971C9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Конкурсные работы могут быть использованы для демонстрации на районных, городских мероприятиях в сфере образования без дополнительного согласия.</w:t>
            </w:r>
          </w:p>
          <w:p w14:paraId="56044E62">
            <w:pPr>
              <w:tabs>
                <w:tab w:val="left" w:pos="1216"/>
              </w:tabs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Для обучающихся в возрасте 10-13 лет:</w:t>
            </w:r>
          </w:p>
          <w:p w14:paraId="5AC1FE92">
            <w:pPr>
              <w:spacing w:after="0" w:line="240" w:lineRule="auto"/>
              <w:jc w:val="both"/>
              <w:rPr>
                <w:rFonts w:hint="default" w:ascii="Times New Roman" w:hAnsi="Times New Roman"/>
                <w:bCs/>
                <w:color w:val="0000FF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bCs/>
                <w:color w:val="0000FF"/>
                <w:sz w:val="24"/>
                <w:szCs w:val="24"/>
                <w:lang w:val="ru-RU"/>
              </w:rPr>
              <w:t>https://forms.yandex.ru/cloud/68dbbd0dd04688233539214d</w:t>
            </w:r>
          </w:p>
          <w:p w14:paraId="2F40CB59">
            <w:pPr>
              <w:tabs>
                <w:tab w:val="left" w:pos="1216"/>
              </w:tabs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Для обучающихся в возрасте 14-18 лет:</w:t>
            </w:r>
          </w:p>
          <w:p w14:paraId="15CF898A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cs="Times New Roman"/>
                <w:color w:val="0000FF"/>
                <w:sz w:val="24"/>
                <w:szCs w:val="24"/>
              </w:rPr>
              <w:t>https://forms.yandex.ru/cloud/68dbbd0dd04688233539214d</w:t>
            </w:r>
          </w:p>
        </w:tc>
      </w:tr>
      <w:tr w14:paraId="72757D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1D80105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22-28 октября</w:t>
            </w:r>
          </w:p>
        </w:tc>
        <w:tc>
          <w:tcPr>
            <w:tcW w:w="7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8E7EE7F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Оценивания конкурсных работ:</w:t>
            </w:r>
          </w:p>
          <w:p w14:paraId="7C2E0C2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 работа жюри по оцениванию конкурсных материалов и заполнению оценочных листов.</w:t>
            </w:r>
          </w:p>
        </w:tc>
      </w:tr>
      <w:tr w14:paraId="7697E0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79CD210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29-31 октября</w:t>
            </w:r>
          </w:p>
        </w:tc>
        <w:tc>
          <w:tcPr>
            <w:tcW w:w="7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9839B56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Подведение итогов конкурса:</w:t>
            </w:r>
          </w:p>
          <w:p w14:paraId="6BC2153E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 работа членов оргкомитета по обработке оценочных листов;</w:t>
            </w:r>
          </w:p>
          <w:p w14:paraId="643A1817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 согласование итогов с членами жюри.</w:t>
            </w:r>
          </w:p>
        </w:tc>
      </w:tr>
      <w:tr w14:paraId="55CD39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D347E3">
            <w:pPr>
              <w:spacing w:after="0" w:line="240" w:lineRule="auto"/>
              <w:ind w:firstLine="709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7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8E3C28E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Публикация итогов на официальном сайте Центра </w:t>
            </w:r>
            <w:r>
              <w:fldChar w:fldCharType="begin"/>
            </w:r>
            <w:r>
              <w:instrText xml:space="preserve"> HYPERLINK "https://irbis-samara.ru/.%20" </w:instrText>
            </w:r>
            <w:r>
              <w:fldChar w:fldCharType="separate"/>
            </w:r>
            <w:r>
              <w:fldChar w:fldCharType="begin"/>
            </w:r>
            <w:r>
              <w:instrText xml:space="preserve"> HYPERLINK "https://goo.su/H3B2uk"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 w:themeColor="hyperlink"/>
                <w:sz w:val="24"/>
                <w:szCs w:val="24"/>
                <w:u w:val="single"/>
                <w:lang w:eastAsia="ru-RU"/>
                <w14:textFill>
                  <w14:solidFill>
                    <w14:schemeClr w14:val="hlink"/>
                  </w14:solidFill>
                </w14:textFill>
              </w:rPr>
              <w:t>https://goo.su/H3B2uk</w:t>
            </w:r>
            <w:r>
              <w:rPr>
                <w:rFonts w:ascii="Times New Roman" w:hAnsi="Times New Roman"/>
                <w:color w:val="0000FF" w:themeColor="hyperlink"/>
                <w:sz w:val="24"/>
                <w:szCs w:val="24"/>
                <w:u w:val="single"/>
                <w:lang w:eastAsia="ru-RU"/>
                <w14:textFill>
                  <w14:solidFill>
                    <w14:schemeClr w14:val="hlink"/>
                  </w14:solidFill>
                </w14:textFill>
              </w:rPr>
              <w:fldChar w:fldCharType="end"/>
            </w:r>
            <w:r>
              <w:rPr>
                <w:rFonts w:ascii="Times New Roman" w:hAnsi="Times New Roman"/>
                <w:color w:val="0000FF" w:themeColor="hyperlink"/>
                <w:sz w:val="24"/>
                <w:szCs w:val="24"/>
                <w:u w:val="single"/>
                <w:lang w:eastAsia="ru-RU"/>
                <w14:textFill>
                  <w14:solidFill>
                    <w14:schemeClr w14:val="hlink"/>
                  </w14:solidFill>
                </w14:textFill>
              </w:rPr>
              <w:t xml:space="preserve">. </w:t>
            </w:r>
            <w:r>
              <w:rPr>
                <w:rFonts w:ascii="Times New Roman" w:hAnsi="Times New Roman"/>
                <w:color w:val="0000FF" w:themeColor="hyperlink"/>
                <w:sz w:val="24"/>
                <w:szCs w:val="24"/>
                <w:u w:val="single"/>
                <w:lang w:eastAsia="ru-RU"/>
                <w14:textFill>
                  <w14:solidFill>
                    <w14:schemeClr w14:val="hlink"/>
                  </w14:solidFill>
                </w14:textFill>
              </w:rPr>
              <w:fldChar w:fldCharType="end"/>
            </w:r>
          </w:p>
          <w:p w14:paraId="0D7E0BA3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и распечатка грамот. Размещение сертификатов участникам конкурса.</w:t>
            </w:r>
          </w:p>
        </w:tc>
      </w:tr>
    </w:tbl>
    <w:p w14:paraId="314D0AB6">
      <w:pPr>
        <w:spacing w:after="0" w:line="240" w:lineRule="auto"/>
        <w:ind w:firstLine="709"/>
        <w:jc w:val="center"/>
        <w:rPr>
          <w:rFonts w:ascii="Times New Roman" w:hAnsi="Times New Roman" w:eastAsia="Times New Roman"/>
          <w:b/>
          <w:sz w:val="24"/>
          <w:szCs w:val="24"/>
        </w:rPr>
      </w:pPr>
      <w:r>
        <w:rPr>
          <w:rFonts w:ascii="Times New Roman" w:hAnsi="Times New Roman" w:eastAsia="Times New Roman"/>
          <w:b/>
          <w:sz w:val="24"/>
          <w:szCs w:val="24"/>
        </w:rPr>
        <w:t>3. Участники Конкурса</w:t>
      </w:r>
    </w:p>
    <w:p w14:paraId="12C8A116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3.1. В Конкурсе могут принимать участие обучающиеся образовательных учреждений </w:t>
      </w:r>
      <w:r>
        <w:rPr>
          <w:rFonts w:ascii="Times New Roman" w:hAnsi="Times New Roman"/>
          <w:b/>
          <w:color w:val="000000"/>
          <w:sz w:val="24"/>
          <w:szCs w:val="24"/>
        </w:rPr>
        <w:t>в возрасте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b/>
          <w:color w:val="000000"/>
          <w:sz w:val="24"/>
          <w:szCs w:val="24"/>
        </w:rPr>
        <w:t>10-18 лет</w:t>
      </w:r>
      <w:r>
        <w:rPr>
          <w:rFonts w:ascii="Times New Roman" w:hAnsi="Times New Roman"/>
          <w:color w:val="000000"/>
          <w:sz w:val="24"/>
          <w:szCs w:val="24"/>
        </w:rPr>
        <w:t xml:space="preserve">, выполнившие исследовательскую работу или проектную работу в области фундаментальной, прикладной науки или технического творчества. </w:t>
      </w:r>
    </w:p>
    <w:p w14:paraId="144D47E2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3.2. Допускается индивидуальное и коллективное участие в соответствии с выбранной номинацией Конкурса (не более трех человек). Замена участников в ходе Конкурса не допускается.</w:t>
      </w:r>
    </w:p>
    <w:p w14:paraId="550253BE">
      <w:pPr>
        <w:spacing w:after="0" w:line="240" w:lineRule="auto"/>
        <w:ind w:firstLine="709"/>
        <w:jc w:val="both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>3.3. Участники, принимая участие в Конкурсе, соглашаются с правилами проведения Конкурса, изложенными в Положении.</w:t>
      </w:r>
    </w:p>
    <w:p w14:paraId="55DA2688">
      <w:pPr>
        <w:spacing w:after="0" w:line="240" w:lineRule="auto"/>
        <w:ind w:firstLine="709"/>
        <w:jc w:val="both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>3.4. Участник может обращаться за консультациями, разъяснениями и технической поддержкой по вопросам, связанным с участием в Конкурсе к Организатору.</w:t>
      </w:r>
    </w:p>
    <w:p w14:paraId="770F1E2F">
      <w:pPr>
        <w:spacing w:after="0" w:line="240" w:lineRule="auto"/>
        <w:ind w:firstLine="709"/>
        <w:jc w:val="both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>3.5. Ответственность за содержание предоставленных материалов несут участники Конкурса. Претензии, связанные с нарушением авторских прав в работах участников, направляются непосредственно лицам, предоставившим материалы.</w:t>
      </w:r>
    </w:p>
    <w:p w14:paraId="6605816A">
      <w:pPr>
        <w:spacing w:after="0" w:line="240" w:lineRule="auto"/>
        <w:ind w:firstLine="709"/>
        <w:jc w:val="both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>3.6. Подача материалов на участие в Конкурсе рассматривается как согласие автора (авторов) на возможную публикацию отдельных материалов с соблюдением авторских прав участников.</w:t>
      </w:r>
    </w:p>
    <w:p w14:paraId="077AE377">
      <w:pPr>
        <w:spacing w:after="0" w:line="240" w:lineRule="auto"/>
        <w:ind w:firstLine="709"/>
        <w:jc w:val="both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>3.7. Участники соглашаются, что результаты их интеллектуальной деятельности за время участия в Конкурсе могут быть использованы Организаторами по своему усмотрению в некоммерческих целях со ссылкой на автора.</w:t>
      </w:r>
    </w:p>
    <w:p w14:paraId="42E2B0EF">
      <w:pPr>
        <w:spacing w:after="0" w:line="240" w:lineRule="auto"/>
        <w:ind w:firstLine="709"/>
        <w:jc w:val="both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 xml:space="preserve">3.8. Участники соглашаются, что за использование Организаторами результатов их интеллектуальной деятельности за время участия в Конкурсе они не будут претендовать на получение оплаты (вознаграждения) от Организатора за использование таких результатов.  </w:t>
      </w:r>
    </w:p>
    <w:p w14:paraId="493A0A17">
      <w:pPr>
        <w:spacing w:after="0" w:line="240" w:lineRule="auto"/>
        <w:ind w:left="709"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3.9. Количество работ от учреждения не ограничено.</w:t>
      </w:r>
    </w:p>
    <w:p w14:paraId="2B784BEF">
      <w:pPr>
        <w:spacing w:after="0" w:line="240" w:lineRule="auto"/>
        <w:ind w:firstLine="709"/>
        <w:jc w:val="center"/>
        <w:rPr>
          <w:rFonts w:ascii="Times New Roman" w:hAnsi="Times New Roman" w:eastAsia="Times New Roman"/>
          <w:b/>
          <w:sz w:val="24"/>
          <w:szCs w:val="24"/>
          <w:lang w:eastAsia="ru-RU"/>
        </w:rPr>
      </w:pPr>
      <w:r>
        <w:rPr>
          <w:rFonts w:ascii="Times New Roman" w:hAnsi="Times New Roman" w:eastAsia="Times New Roman"/>
          <w:b/>
          <w:sz w:val="24"/>
          <w:szCs w:val="24"/>
          <w:lang w:eastAsia="ru-RU"/>
        </w:rPr>
        <w:t>4. Порядок проведения и содержание Конкурса</w:t>
      </w:r>
    </w:p>
    <w:p w14:paraId="1F4E9DE0">
      <w:pPr>
        <w:spacing w:after="0" w:line="240" w:lineRule="auto"/>
        <w:ind w:firstLine="709"/>
        <w:jc w:val="both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 xml:space="preserve">4.1. Конкурс проводится в заочной (дистанционной) форме. </w:t>
      </w:r>
    </w:p>
    <w:p w14:paraId="3DC97073">
      <w:pPr>
        <w:spacing w:after="0" w:line="240" w:lineRule="auto"/>
        <w:ind w:firstLine="709"/>
        <w:jc w:val="both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>4.2 Для проведения Конкурса создается Оргкомитет из числа сотрудников Центра, задачами которого являются:</w:t>
      </w:r>
    </w:p>
    <w:p w14:paraId="24B8F99D">
      <w:pPr>
        <w:spacing w:after="0" w:line="240" w:lineRule="auto"/>
        <w:ind w:firstLine="709"/>
        <w:contextualSpacing/>
        <w:jc w:val="both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>- обеспечение проведения Конкурса в соответствии с настоящим Положением;</w:t>
      </w:r>
    </w:p>
    <w:p w14:paraId="3D91FD9D">
      <w:pPr>
        <w:spacing w:after="0" w:line="240" w:lineRule="auto"/>
        <w:ind w:firstLine="709"/>
        <w:contextualSpacing/>
        <w:jc w:val="both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>- предоставление равных условий для всех участников;</w:t>
      </w:r>
    </w:p>
    <w:p w14:paraId="19C1A1A8">
      <w:pPr>
        <w:spacing w:after="0" w:line="240" w:lineRule="auto"/>
        <w:ind w:firstLine="709"/>
        <w:contextualSpacing/>
        <w:jc w:val="both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>- определяет состав экспертного жюри Конкурса и регламент его работы;</w:t>
      </w:r>
    </w:p>
    <w:p w14:paraId="4547057E">
      <w:pPr>
        <w:spacing w:after="0" w:line="240" w:lineRule="auto"/>
        <w:ind w:firstLine="709"/>
        <w:contextualSpacing/>
        <w:jc w:val="both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>- разработка критериев оценки конкурсных работ участников;</w:t>
      </w:r>
    </w:p>
    <w:p w14:paraId="0284437B">
      <w:pPr>
        <w:spacing w:after="0" w:line="240" w:lineRule="auto"/>
        <w:ind w:firstLine="709"/>
        <w:contextualSpacing/>
        <w:jc w:val="both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>- анализ и обобщение итогов Конкурса;</w:t>
      </w:r>
    </w:p>
    <w:p w14:paraId="3644697E">
      <w:pPr>
        <w:spacing w:after="0" w:line="240" w:lineRule="auto"/>
        <w:ind w:firstLine="709"/>
        <w:contextualSpacing/>
        <w:jc w:val="both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>- награждение участников Конкурса.</w:t>
      </w:r>
    </w:p>
    <w:p w14:paraId="1B1FA9D6">
      <w:pPr>
        <w:spacing w:after="0" w:line="240" w:lineRule="auto"/>
        <w:ind w:firstLine="709"/>
        <w:jc w:val="both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>4.3. В задачи жюри Конкурса входит:</w:t>
      </w:r>
    </w:p>
    <w:p w14:paraId="77FE0A53">
      <w:pPr>
        <w:spacing w:after="0" w:line="240" w:lineRule="auto"/>
        <w:ind w:firstLine="709"/>
        <w:contextualSpacing/>
        <w:jc w:val="both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>- проверка конкурсных работ участников Конкурса</w:t>
      </w:r>
    </w:p>
    <w:p w14:paraId="27B3DE82">
      <w:pPr>
        <w:spacing w:after="0" w:line="240" w:lineRule="auto"/>
        <w:ind w:firstLine="709"/>
        <w:contextualSpacing/>
        <w:jc w:val="both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>- присвоение баллов за выполненные задания в соответствии с критериями оценки конкурсных работ;</w:t>
      </w:r>
    </w:p>
    <w:p w14:paraId="32BD8917">
      <w:pPr>
        <w:spacing w:after="0" w:line="240" w:lineRule="auto"/>
        <w:ind w:firstLine="709"/>
        <w:contextualSpacing/>
        <w:jc w:val="both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>- определение победителей по итогам Конкурса.</w:t>
      </w:r>
    </w:p>
    <w:p w14:paraId="4B45108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4.4. Конкурс проводится по следующим номинациям:</w:t>
      </w:r>
    </w:p>
    <w:p w14:paraId="2EBAF70C">
      <w:pPr>
        <w:tabs>
          <w:tab w:val="left" w:pos="1216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Для обучающихся в возрасте 10-13 лет:</w:t>
      </w:r>
    </w:p>
    <w:p w14:paraId="4B49297B">
      <w:pPr>
        <w:tabs>
          <w:tab w:val="left" w:pos="1216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«</w:t>
      </w:r>
      <w:r>
        <w:rPr>
          <w:rFonts w:ascii="Times New Roman" w:hAnsi="Times New Roman"/>
          <w:b/>
          <w:bCs/>
          <w:sz w:val="24"/>
          <w:szCs w:val="24"/>
        </w:rPr>
        <w:t>Юные исследователи</w:t>
      </w:r>
      <w:r>
        <w:rPr>
          <w:rFonts w:ascii="Times New Roman" w:hAnsi="Times New Roman"/>
          <w:bCs/>
          <w:sz w:val="24"/>
          <w:szCs w:val="24"/>
        </w:rPr>
        <w:t xml:space="preserve">» (учебные исследования </w:t>
      </w:r>
      <w:r>
        <w:rPr>
          <w:rFonts w:ascii="Times New Roman" w:hAnsi="Times New Roman"/>
          <w:iCs/>
          <w:sz w:val="24"/>
          <w:szCs w:val="24"/>
        </w:rPr>
        <w:t>или проектные работы, соответствующие тематическим направлениям номинаций Конкурса</w:t>
      </w:r>
      <w:r>
        <w:rPr>
          <w:rFonts w:ascii="Times New Roman" w:hAnsi="Times New Roman"/>
          <w:bCs/>
          <w:sz w:val="24"/>
          <w:szCs w:val="24"/>
        </w:rPr>
        <w:t>).</w:t>
      </w:r>
    </w:p>
    <w:p w14:paraId="3628DCFC">
      <w:pPr>
        <w:tabs>
          <w:tab w:val="left" w:pos="1216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Для обучающихся в возрасте 14-18 лет:</w:t>
      </w:r>
    </w:p>
    <w:p w14:paraId="2A5A3847">
      <w:pPr>
        <w:spacing w:after="0" w:line="240" w:lineRule="auto"/>
        <w:ind w:firstLine="709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«Зоология и экология позвоночных животных»</w:t>
      </w:r>
      <w:r>
        <w:rPr>
          <w:rFonts w:ascii="Times New Roman" w:hAnsi="Times New Roman"/>
          <w:color w:val="000000"/>
          <w:sz w:val="24"/>
          <w:szCs w:val="24"/>
        </w:rPr>
        <w:t xml:space="preserve"> (исследования обитающих в дикой природе млекопитающих, птиц, пресмыкающихся, земноводных, рыб; фаунистика,</w:t>
      </w:r>
    </w:p>
    <w:p w14:paraId="7F3A254E">
      <w:pPr>
        <w:spacing w:after="0" w:line="240" w:lineRule="auto"/>
        <w:ind w:firstLine="709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зоогеография и экология различных систематических групп позвоночных; исследования поведения позвоночных);</w:t>
      </w:r>
    </w:p>
    <w:p w14:paraId="6A4C8A6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«Зоология и экология беспозвоночных животных»</w:t>
      </w:r>
      <w:r>
        <w:rPr>
          <w:rFonts w:ascii="Times New Roman" w:hAnsi="Times New Roman"/>
          <w:color w:val="000000"/>
          <w:sz w:val="24"/>
          <w:szCs w:val="24"/>
        </w:rPr>
        <w:t xml:space="preserve"> (исследования обитающих в дикой природе насекомых, паукообразных, многоножек, ракообразных, моллюсков, червей, простейших и др.; фаунистика, зоогеография и экология различных систематических групп беспозвоночных; исследования поведения беспозвоночных);</w:t>
      </w:r>
    </w:p>
    <w:p w14:paraId="03753F53">
      <w:pPr>
        <w:spacing w:after="0" w:line="240" w:lineRule="auto"/>
        <w:ind w:firstLine="709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«Экспериментальная зоология» </w:t>
      </w:r>
      <w:r>
        <w:rPr>
          <w:rFonts w:ascii="Times New Roman" w:hAnsi="Times New Roman"/>
          <w:color w:val="000000"/>
          <w:sz w:val="24"/>
          <w:szCs w:val="24"/>
        </w:rPr>
        <w:t>(вопросы содержания, благополучия и онтогенеза диких животных в условиях неволи, исследования в области физиологии и поведения животных разных систематических групп);</w:t>
      </w:r>
    </w:p>
    <w:p w14:paraId="7672277A">
      <w:pPr>
        <w:spacing w:after="0" w:line="240" w:lineRule="auto"/>
        <w:ind w:firstLine="709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«Ботаника и экология растений»</w:t>
      </w:r>
      <w:r>
        <w:rPr>
          <w:rFonts w:ascii="Times New Roman" w:hAnsi="Times New Roman"/>
          <w:color w:val="000000"/>
          <w:sz w:val="24"/>
          <w:szCs w:val="24"/>
        </w:rPr>
        <w:t xml:space="preserve"> (исследования биологических и экологических</w:t>
      </w:r>
    </w:p>
    <w:p w14:paraId="54703746">
      <w:pPr>
        <w:spacing w:after="0" w:line="240" w:lineRule="auto"/>
        <w:ind w:firstLine="709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особенностей дикорастущих растений; популяционные исследования растений; исследования флоры и растительности);</w:t>
      </w:r>
    </w:p>
    <w:p w14:paraId="750612E2">
      <w:pPr>
        <w:spacing w:after="0" w:line="240" w:lineRule="auto"/>
        <w:ind w:firstLine="709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«Микология, лихенология, альгология»</w:t>
      </w:r>
      <w:r>
        <w:rPr>
          <w:rFonts w:ascii="Times New Roman" w:hAnsi="Times New Roman"/>
          <w:color w:val="000000"/>
          <w:sz w:val="24"/>
          <w:szCs w:val="24"/>
        </w:rPr>
        <w:t xml:space="preserve"> (исследования биологических и экологических особенностей грибов, лишайников и водорослей, выявление экологоморфологических особенностей, систематических групп, разнообразие грибов в природных экосистемах, симбиоз грибов с растениями, современные направления исследования лишайников);</w:t>
      </w:r>
    </w:p>
    <w:p w14:paraId="728612AE">
      <w:pPr>
        <w:spacing w:after="0" w:line="240" w:lineRule="auto"/>
        <w:ind w:firstLine="709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«Человек и его здоровье»</w:t>
      </w:r>
      <w:r>
        <w:rPr>
          <w:rFonts w:ascii="Times New Roman" w:hAnsi="Times New Roman"/>
          <w:color w:val="000000"/>
          <w:sz w:val="24"/>
          <w:szCs w:val="24"/>
        </w:rPr>
        <w:t xml:space="preserve"> (исследования влияния воздействия факторов4</w:t>
      </w:r>
    </w:p>
    <w:p w14:paraId="75178CBE">
      <w:pPr>
        <w:spacing w:after="0" w:line="240" w:lineRule="auto"/>
        <w:ind w:firstLine="709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окружающей среды на организм человека, на его здоровье; изучение эффективности мер профилактики заболеваний и поддержания иммунитета; исследования в области физиологии человека; исследования в области экологии поселений; исследования в области новых полезных свойств живых организмов, субстанций и тканей);</w:t>
      </w:r>
    </w:p>
    <w:p w14:paraId="57A5B21A">
      <w:pPr>
        <w:spacing w:after="0" w:line="240" w:lineRule="auto"/>
        <w:ind w:firstLine="709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«Ландшафтная экология и почвоведение»</w:t>
      </w:r>
      <w:r>
        <w:rPr>
          <w:rFonts w:ascii="Times New Roman" w:hAnsi="Times New Roman"/>
          <w:color w:val="000000"/>
          <w:sz w:val="24"/>
          <w:szCs w:val="24"/>
        </w:rPr>
        <w:t xml:space="preserve"> (исследования, направленные на комплексное изучение экосистем, оценку экологического состояния ландшафта, изучение</w:t>
      </w:r>
    </w:p>
    <w:p w14:paraId="2484C6A4">
      <w:pPr>
        <w:spacing w:after="0" w:line="240" w:lineRule="auto"/>
        <w:ind w:firstLine="709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взаимосвязей и взаимодействий между компонентами экосистемы, физико-географические исследования; исследования почв природных экосистем: физических, химических и биологических свойств почвы; исследования, направленные на изучение химических и биохимических процессов в почвах агросистем и растениях, анализ антропогенного загрязнения почв и грунтов и его влияния на организм человека, исследования в области восстановления первозданного облика природы на пост-индустриальной территории, комплексные фенологические исследования; проектные работы, описывающие приемы воздействия на почвы с целью повышения их плодородия);</w:t>
      </w:r>
    </w:p>
    <w:p w14:paraId="0D21AC5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«Палеонтология, минералогия и петрография»</w:t>
      </w:r>
      <w:r>
        <w:rPr>
          <w:rFonts w:ascii="Times New Roman" w:hAnsi="Times New Roman"/>
          <w:color w:val="000000"/>
          <w:sz w:val="24"/>
          <w:szCs w:val="24"/>
        </w:rPr>
        <w:t xml:space="preserve"> (исследования представителей ископаемых растений, животных, а также палеоэкосистем, изучение разнообразия минералов и иных горных пород);</w:t>
      </w:r>
    </w:p>
    <w:p w14:paraId="4764876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«Экологический мониторинг»</w:t>
      </w:r>
      <w:r>
        <w:rPr>
          <w:rFonts w:ascii="Times New Roman" w:hAnsi="Times New Roman"/>
          <w:color w:val="000000"/>
          <w:sz w:val="24"/>
          <w:szCs w:val="24"/>
        </w:rPr>
        <w:t xml:space="preserve"> (исследования, в которых анализируется качество</w:t>
      </w:r>
    </w:p>
    <w:p w14:paraId="2A66608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водной, воздушной или почвенной среды путём применения методов физики и химии, либо посредством методов биоиндикации);</w:t>
      </w:r>
    </w:p>
    <w:p w14:paraId="2029605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«Геоинформатика»</w:t>
      </w:r>
      <w:r>
        <w:rPr>
          <w:rFonts w:ascii="Times New Roman" w:hAnsi="Times New Roman"/>
          <w:color w:val="000000"/>
          <w:sz w:val="24"/>
          <w:szCs w:val="24"/>
        </w:rPr>
        <w:t xml:space="preserve"> (использование гис-технологии и данных дистанционного зондирования земли в природоохранной деятельности, создание цифровых карт и геоинформационных систем, космический мониторинг состояния окружающей природной</w:t>
      </w:r>
    </w:p>
    <w:p w14:paraId="66C196AE">
      <w:pPr>
        <w:spacing w:after="0" w:line="240" w:lineRule="auto"/>
        <w:ind w:firstLine="709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среды - мест захоронения твердых бытовых и промышленных отходов, лесных пожаров,</w:t>
      </w:r>
    </w:p>
    <w:p w14:paraId="25D1BF93">
      <w:pPr>
        <w:spacing w:after="0" w:line="240" w:lineRule="auto"/>
        <w:ind w:firstLine="709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подвижек ледников);</w:t>
      </w:r>
    </w:p>
    <w:p w14:paraId="25C4CA4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«Прикладная клеточная биология, биотехнология, генетика и селекция»</w:t>
      </w:r>
    </w:p>
    <w:p w14:paraId="5819843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(проектные работы, связанные с интеграцией химических технологий в эволюционные процессы природный систем; проектные работы, направленные на выявление и разработку химических индикаторов здоровья экосистемы региона; проектные работы, связанные с биологическими и экологическими особенностями бактерий и вирусов, культивированием хозяйственно-значимых штаммов микроорганизмов; создание и разработка новых сортов растений; применение живых организмов, их систем или продуктов их жизнедеятельности для решения технологических задач);</w:t>
      </w:r>
    </w:p>
    <w:p w14:paraId="43FE471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«Клеточная биология, генетика»</w:t>
      </w:r>
      <w:r>
        <w:rPr>
          <w:rFonts w:ascii="Times New Roman" w:hAnsi="Times New Roman"/>
          <w:color w:val="000000"/>
          <w:sz w:val="24"/>
          <w:szCs w:val="24"/>
        </w:rPr>
        <w:t xml:space="preserve"> (исследования, направленные на изучение биологии клетки, генетики растений, животных, микроорганизмов, человека, а также мутагенов, канцерогенов, аллергенов, антимутагенов, наследственных болезней; исследование продуктивности новых сортов растений; исследование применения живых организмов, их систем или продуктов их жизнедеятельности для решения технологических задач);</w:t>
      </w:r>
    </w:p>
    <w:p w14:paraId="52AF64EE">
      <w:pPr>
        <w:spacing w:after="0" w:line="240" w:lineRule="auto"/>
        <w:ind w:firstLine="709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«Зеленая энергетика»</w:t>
      </w:r>
      <w:r>
        <w:rPr>
          <w:rFonts w:ascii="Times New Roman" w:hAnsi="Times New Roman"/>
          <w:color w:val="000000"/>
          <w:sz w:val="24"/>
          <w:szCs w:val="24"/>
        </w:rPr>
        <w:t xml:space="preserve"> (исследования, направленные на изучение влияния воздействия на окружающую среду антропогенных факторов, вызванных деятельностью</w:t>
      </w:r>
    </w:p>
    <w:p w14:paraId="32A83DFE">
      <w:pPr>
        <w:spacing w:after="0" w:line="240" w:lineRule="auto"/>
        <w:ind w:firstLine="709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человека по добыче полезных ископаемых, производством, передачей и потреблением электрической и тепловой энергии);</w:t>
      </w:r>
    </w:p>
    <w:p w14:paraId="768327F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«Зеленая инженерия»</w:t>
      </w:r>
      <w:r>
        <w:rPr>
          <w:rFonts w:ascii="Times New Roman" w:hAnsi="Times New Roman"/>
          <w:color w:val="000000"/>
          <w:sz w:val="24"/>
          <w:szCs w:val="24"/>
        </w:rPr>
        <w:t xml:space="preserve"> (проектные работы, направленные на разработку интерактивного оборудования для исследования и охраны окружающей среды (устройства</w:t>
      </w:r>
    </w:p>
    <w:p w14:paraId="274C66E3">
      <w:pPr>
        <w:spacing w:after="0" w:line="240" w:lineRule="auto"/>
        <w:ind w:firstLine="709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умного сельского экодома, экосада, экоогорода, разработка зеленых решений в области энергетики (минимальный жизнеспособный продукт, полезная модель, цифровые двойники систем альтернативной энергетики и так далее.), разработка программного обеспечения, направленного на эффективные решения в области рационального природопользования или экологического образования и просвещения (разработка приложений, в том числе и образовательных и др.); технические решения для выполнения инструментальных исследований и мониторинга окружающей среды, систем контроля доступа; проектные работы, направленные на получение экологически чистых источников электроэнергии, ее распределения и аккумуляции);</w:t>
      </w:r>
    </w:p>
    <w:p w14:paraId="0F501F3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«Обращение с отходами»</w:t>
      </w:r>
      <w:r>
        <w:rPr>
          <w:rFonts w:ascii="Times New Roman" w:hAnsi="Times New Roman"/>
          <w:color w:val="000000"/>
          <w:sz w:val="24"/>
          <w:szCs w:val="24"/>
        </w:rPr>
        <w:t xml:space="preserve"> (исследования, связанные с возможностью переработки, утилизации и обработки различных видов отходов; проекты по организации раздельного сбора, предварительного накопления отходов, их переработки и утилизации). </w:t>
      </w:r>
    </w:p>
    <w:p w14:paraId="00576B4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b/>
          <w:color w:val="000000"/>
          <w:sz w:val="24"/>
          <w:szCs w:val="24"/>
        </w:rPr>
        <w:t>«Астрономия и изучение космического пространства»</w:t>
      </w:r>
      <w:r>
        <w:rPr>
          <w:rFonts w:ascii="Times New Roman" w:hAnsi="Times New Roman"/>
          <w:color w:val="000000"/>
          <w:sz w:val="24"/>
          <w:szCs w:val="24"/>
        </w:rPr>
        <w:t xml:space="preserve"> (исследования и проектные работы, связанные с теоретической и наблюдательной астрономией, астрофизикой, космологией, планетологией, изучением и освоением космического пространства; естественные науки в космосе – космические эксперименты, физика невесомости и др.; космическое образование и просвещение – разработка учебных моделей, программного обучающего обеспечения (приложения для мобильных устройств и иное).</w:t>
      </w:r>
    </w:p>
    <w:p w14:paraId="31D8179D">
      <w:pPr>
        <w:spacing w:after="0" w:line="240" w:lineRule="auto"/>
        <w:ind w:firstLine="709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4.7. На Конкурс НЕ ПРИНИМАЮТСЯ:</w:t>
      </w:r>
    </w:p>
    <w:p w14:paraId="1369027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работы реферативные, содержание которых основано только на анализе литературных источников или на сведениях, предоставленных различными организациями и ведомствами;</w:t>
      </w:r>
    </w:p>
    <w:p w14:paraId="138AC25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работы авторов, возраст которых не соответствует условиям Конкурса;</w:t>
      </w:r>
    </w:p>
    <w:p w14:paraId="044869C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работы, не соответствующие содержанию Конкурса и его номинаций;</w:t>
      </w:r>
    </w:p>
    <w:p w14:paraId="0B82D54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работы, имеющие признаки плагиата. Авторство (уникальность) текста должно составлять не менее 70%.</w:t>
      </w:r>
    </w:p>
    <w:p w14:paraId="611B96E4">
      <w:pPr>
        <w:spacing w:after="0" w:line="240" w:lineRule="auto"/>
        <w:ind w:firstLine="709"/>
        <w:jc w:val="both"/>
        <w:rPr>
          <w:rFonts w:ascii="Times New Roman" w:hAnsi="Times New Roman" w:eastAsia="Times New Roman"/>
          <w:bCs/>
          <w:i/>
          <w:iCs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 xml:space="preserve">4.8. </w:t>
      </w:r>
      <w:r>
        <w:rPr>
          <w:rFonts w:ascii="Times New Roman" w:hAnsi="Times New Roman" w:eastAsia="Times New Roman"/>
          <w:sz w:val="24"/>
          <w:szCs w:val="24"/>
          <w:lang w:eastAsia="ru-RU"/>
        </w:rPr>
        <w:t>Победители окружного этапа з</w:t>
      </w:r>
      <w:r>
        <w:rPr>
          <w:rFonts w:ascii="Times New Roman" w:hAnsi="Times New Roman" w:eastAsia="Times New Roman"/>
          <w:bCs/>
          <w:i/>
          <w:iCs/>
          <w:sz w:val="24"/>
          <w:szCs w:val="24"/>
          <w:lang w:eastAsia="ru-RU"/>
        </w:rPr>
        <w:t xml:space="preserve">аписываются на мероприятие </w:t>
      </w:r>
      <w:r>
        <w:rPr>
          <w:rFonts w:ascii="Times New Roman" w:hAnsi="Times New Roman" w:eastAsia="Times New Roman"/>
          <w:b/>
          <w:i/>
          <w:iCs/>
          <w:sz w:val="24"/>
          <w:szCs w:val="24"/>
          <w:lang w:eastAsia="ru-RU"/>
        </w:rPr>
        <w:t>обязательно</w:t>
      </w:r>
      <w:r>
        <w:rPr>
          <w:rFonts w:ascii="Times New Roman" w:hAnsi="Times New Roman" w:eastAsia="Times New Roman"/>
          <w:bCs/>
          <w:i/>
          <w:iCs/>
          <w:sz w:val="24"/>
          <w:szCs w:val="24"/>
          <w:lang w:eastAsia="ru-RU"/>
        </w:rPr>
        <w:t xml:space="preserve"> через сайт «Навигатор дополнительного образования детей Самарской области» (</w:t>
      </w:r>
      <w:r>
        <w:fldChar w:fldCharType="begin"/>
      </w:r>
      <w:r>
        <w:instrText xml:space="preserve"> HYPERLINK "https://clck.ru/35sWkN" </w:instrText>
      </w:r>
      <w:r>
        <w:fldChar w:fldCharType="separate"/>
      </w:r>
      <w:r>
        <w:rPr>
          <w:rFonts w:ascii="Times New Roman" w:hAnsi="Times New Roman" w:eastAsia="Times New Roman"/>
          <w:color w:val="0000FF" w:themeColor="hyperlink"/>
          <w:sz w:val="24"/>
          <w:szCs w:val="24"/>
          <w:u w:val="single"/>
          <w14:textFill>
            <w14:solidFill>
              <w14:schemeClr w14:val="hlink"/>
            </w14:solidFill>
          </w14:textFill>
        </w:rPr>
        <w:t>https://clck.ru/35sWkN</w:t>
      </w:r>
      <w:r>
        <w:rPr>
          <w:rFonts w:ascii="Times New Roman" w:hAnsi="Times New Roman" w:eastAsia="Times New Roman"/>
          <w:color w:val="0000FF" w:themeColor="hyperlink"/>
          <w:sz w:val="24"/>
          <w:szCs w:val="24"/>
          <w:u w:val="single"/>
          <w14:textFill>
            <w14:solidFill>
              <w14:schemeClr w14:val="hlink"/>
            </w14:solidFill>
          </w14:textFill>
        </w:rPr>
        <w:fldChar w:fldCharType="end"/>
      </w:r>
      <w:r>
        <w:rPr>
          <w:rFonts w:ascii="Times New Roman" w:hAnsi="Times New Roman" w:eastAsia="Times New Roman"/>
          <w:bCs/>
          <w:i/>
          <w:iCs/>
          <w:sz w:val="24"/>
          <w:szCs w:val="24"/>
          <w:lang w:eastAsia="ru-RU"/>
        </w:rPr>
        <w:t xml:space="preserve">) </w:t>
      </w:r>
    </w:p>
    <w:p w14:paraId="24E66513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4.9. Работа в обязательном порядке должна сопровождаться авторским фотоматериалом, отражающим этапы и результат исследования.</w:t>
      </w:r>
    </w:p>
    <w:p w14:paraId="54F80707">
      <w:pPr>
        <w:spacing w:after="0" w:line="240" w:lineRule="auto"/>
        <w:ind w:firstLine="709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4.10. Работы, присланные на конкурс, не рецензируются и не возвращаются.</w:t>
      </w:r>
    </w:p>
    <w:p w14:paraId="518D29F6">
      <w:pPr>
        <w:spacing w:after="0" w:line="240" w:lineRule="auto"/>
        <w:ind w:firstLine="709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4.11. Материалы, поступившие в Оргкомитет с нарушением требований, не рассматриваются.</w:t>
      </w:r>
    </w:p>
    <w:p w14:paraId="76222770">
      <w:pPr>
        <w:spacing w:after="0" w:line="240" w:lineRule="auto"/>
        <w:ind w:firstLine="709"/>
        <w:jc w:val="center"/>
        <w:rPr>
          <w:rFonts w:ascii="Times New Roman" w:hAnsi="Times New Roman" w:eastAsia="Times New Roman"/>
          <w:b/>
          <w:sz w:val="24"/>
          <w:szCs w:val="24"/>
          <w:lang w:eastAsia="ru-RU"/>
        </w:rPr>
      </w:pPr>
      <w:r>
        <w:rPr>
          <w:rFonts w:ascii="Times New Roman" w:hAnsi="Times New Roman" w:eastAsia="Times New Roman"/>
          <w:b/>
          <w:sz w:val="24"/>
          <w:szCs w:val="24"/>
          <w:lang w:eastAsia="ru-RU"/>
        </w:rPr>
        <w:t>5. Требования к содержанию и оформлению конкурсных материалов</w:t>
      </w:r>
    </w:p>
    <w:p w14:paraId="60BB945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>5.1. Общие требования к конкурсным работам:</w:t>
      </w:r>
    </w:p>
    <w:p w14:paraId="0752662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>Все текстовые материалы должны быть написаны на русском языке (при необходимости с использованием латинских названий видов животных и растений). В приложении помещаются вспомогательные и дополнительные материалы: таблицы, рисунки, графики, схемы и т. д., если они помогут пониманию полученных результатов.</w:t>
      </w:r>
    </w:p>
    <w:p w14:paraId="302049E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eastAsia="Times New Roman"/>
          <w:bCs/>
          <w:sz w:val="24"/>
          <w:szCs w:val="24"/>
          <w:lang w:eastAsia="ru-RU"/>
        </w:rPr>
      </w:pPr>
      <w:r>
        <w:rPr>
          <w:rFonts w:ascii="Times New Roman" w:hAnsi="Times New Roman" w:eastAsia="Times New Roman"/>
          <w:bCs/>
          <w:sz w:val="24"/>
          <w:szCs w:val="24"/>
          <w:lang w:eastAsia="ru-RU"/>
        </w:rPr>
        <w:t xml:space="preserve">Объём работ не более 25 страниц, шрифт </w:t>
      </w:r>
      <w:r>
        <w:rPr>
          <w:rFonts w:ascii="Times New Roman" w:hAnsi="Times New Roman" w:eastAsia="Times New Roman"/>
          <w:bCs/>
          <w:sz w:val="24"/>
          <w:szCs w:val="24"/>
          <w:lang w:val="en-US" w:eastAsia="ru-RU"/>
        </w:rPr>
        <w:t>Times</w:t>
      </w:r>
      <w:r>
        <w:rPr>
          <w:rFonts w:ascii="Times New Roman" w:hAnsi="Times New Roman" w:eastAsia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/>
          <w:bCs/>
          <w:sz w:val="24"/>
          <w:szCs w:val="24"/>
          <w:lang w:val="en-US" w:eastAsia="ru-RU"/>
        </w:rPr>
        <w:t>New</w:t>
      </w:r>
      <w:r>
        <w:rPr>
          <w:rFonts w:ascii="Times New Roman" w:hAnsi="Times New Roman" w:eastAsia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/>
          <w:bCs/>
          <w:sz w:val="24"/>
          <w:szCs w:val="24"/>
          <w:lang w:val="en-US" w:eastAsia="ru-RU"/>
        </w:rPr>
        <w:t>Roman</w:t>
      </w:r>
      <w:r>
        <w:rPr>
          <w:rFonts w:ascii="Times New Roman" w:hAnsi="Times New Roman" w:eastAsia="Times New Roman"/>
          <w:bCs/>
          <w:sz w:val="24"/>
          <w:szCs w:val="24"/>
          <w:lang w:eastAsia="ru-RU"/>
        </w:rPr>
        <w:t xml:space="preserve"> 14, интервал одинарный.</w:t>
      </w:r>
    </w:p>
    <w:p w14:paraId="62B5D8D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>Картографический материал должен иметь условные обозначения и масштаб.</w:t>
      </w:r>
    </w:p>
    <w:p w14:paraId="5494809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 xml:space="preserve">Дополнительные наглядные материалы к работам (гербарии, зоологические коллекции и т.д. должны отражать тему работы и быть оформлены в соответствии с видом материала.) После подведения итогов конкурса дополнительные материалы (если они были представлены) возвращаются их авторам. </w:t>
      </w:r>
    </w:p>
    <w:p w14:paraId="2990045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eastAsia="Times New Roman"/>
          <w:spacing w:val="-6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pacing w:val="-6"/>
          <w:sz w:val="24"/>
          <w:szCs w:val="24"/>
          <w:lang w:eastAsia="ru-RU"/>
        </w:rPr>
        <w:t>5.2.</w:t>
      </w:r>
      <w:r>
        <w:rPr>
          <w:rFonts w:ascii="Times New Roman" w:hAnsi="Times New Roman" w:eastAsia="Times New Roman"/>
          <w:iCs/>
          <w:spacing w:val="-6"/>
          <w:sz w:val="24"/>
          <w:szCs w:val="24"/>
          <w:lang w:eastAsia="ru-RU"/>
        </w:rPr>
        <w:t xml:space="preserve"> Исследовательская работа должна содержать:</w:t>
      </w:r>
    </w:p>
    <w:p w14:paraId="1DC6A856">
      <w:pPr>
        <w:widowControl w:val="0"/>
        <w:shd w:val="clear" w:color="auto" w:fill="FFFFFF"/>
        <w:tabs>
          <w:tab w:val="left" w:pos="993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hAnsi="Times New Roman" w:eastAsia="Times New Roman"/>
          <w:iCs/>
          <w:spacing w:val="-6"/>
          <w:sz w:val="24"/>
          <w:szCs w:val="24"/>
          <w:lang w:eastAsia="ru-RU"/>
        </w:rPr>
      </w:pPr>
      <w:r>
        <w:rPr>
          <w:rFonts w:ascii="Times New Roman" w:hAnsi="Times New Roman" w:eastAsia="Times New Roman"/>
          <w:iCs/>
          <w:spacing w:val="-6"/>
          <w:sz w:val="24"/>
          <w:szCs w:val="24"/>
          <w:lang w:eastAsia="ru-RU"/>
        </w:rPr>
        <w:t>- титульный лист, на котором обязательно указываются: полное название образовательной организации, в которой выполнена работа, населенный пункт, название детского объединения, тема работы, фамилия, имя, отчество автора, класс, фамилия, имя, отчество и должность руководителя конкурсной работы (полностью) и консультанта (если имеется), год выполнения работы;</w:t>
      </w:r>
    </w:p>
    <w:p w14:paraId="061B3B35">
      <w:pPr>
        <w:widowControl w:val="0"/>
        <w:shd w:val="clear" w:color="auto" w:fill="FFFFFF"/>
        <w:tabs>
          <w:tab w:val="left" w:pos="993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hAnsi="Times New Roman" w:eastAsia="Times New Roman"/>
          <w:iCs/>
          <w:spacing w:val="-6"/>
          <w:sz w:val="24"/>
          <w:szCs w:val="24"/>
          <w:lang w:eastAsia="ru-RU"/>
        </w:rPr>
      </w:pPr>
      <w:r>
        <w:rPr>
          <w:rFonts w:ascii="Times New Roman" w:hAnsi="Times New Roman" w:eastAsia="Times New Roman"/>
          <w:iCs/>
          <w:spacing w:val="-6"/>
          <w:sz w:val="24"/>
          <w:szCs w:val="24"/>
          <w:lang w:eastAsia="ru-RU"/>
        </w:rPr>
        <w:t>- оглавление, перечисляющее нижеупомянутые разделы содержания (с указанием страниц);</w:t>
      </w:r>
    </w:p>
    <w:p w14:paraId="5882051E">
      <w:pPr>
        <w:widowControl w:val="0"/>
        <w:shd w:val="clear" w:color="auto" w:fill="FFFFFF"/>
        <w:tabs>
          <w:tab w:val="left" w:pos="993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hAnsi="Times New Roman" w:eastAsia="Times New Roman"/>
          <w:iCs/>
          <w:spacing w:val="-6"/>
          <w:sz w:val="24"/>
          <w:szCs w:val="24"/>
          <w:lang w:eastAsia="ru-RU"/>
        </w:rPr>
      </w:pPr>
      <w:r>
        <w:rPr>
          <w:rFonts w:ascii="Times New Roman" w:hAnsi="Times New Roman" w:eastAsia="Times New Roman"/>
          <w:iCs/>
          <w:spacing w:val="-6"/>
          <w:sz w:val="24"/>
          <w:szCs w:val="24"/>
          <w:lang w:eastAsia="ru-RU"/>
        </w:rPr>
        <w:t>- содержание работы.</w:t>
      </w:r>
    </w:p>
    <w:p w14:paraId="5CEADA71">
      <w:pPr>
        <w:widowControl w:val="0"/>
        <w:shd w:val="clear" w:color="auto" w:fill="FFFFFF"/>
        <w:tabs>
          <w:tab w:val="left" w:pos="993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hAnsi="Times New Roman" w:eastAsia="Times New Roman"/>
          <w:iCs/>
          <w:spacing w:val="-6"/>
          <w:sz w:val="24"/>
          <w:szCs w:val="24"/>
          <w:lang w:eastAsia="ru-RU"/>
        </w:rPr>
      </w:pPr>
      <w:r>
        <w:rPr>
          <w:rFonts w:ascii="Times New Roman" w:hAnsi="Times New Roman" w:eastAsia="Times New Roman"/>
          <w:iCs/>
          <w:spacing w:val="-6"/>
          <w:sz w:val="24"/>
          <w:szCs w:val="24"/>
          <w:lang w:eastAsia="ru-RU"/>
        </w:rPr>
        <w:t xml:space="preserve">В структуре изложения содержания работы должно быть представлено: </w:t>
      </w:r>
    </w:p>
    <w:p w14:paraId="7592905C">
      <w:pPr>
        <w:widowControl w:val="0"/>
        <w:shd w:val="clear" w:color="auto" w:fill="FFFFFF"/>
        <w:tabs>
          <w:tab w:val="left" w:pos="993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hAnsi="Times New Roman" w:eastAsia="Times New Roman"/>
          <w:iCs/>
          <w:spacing w:val="-6"/>
          <w:sz w:val="24"/>
          <w:szCs w:val="24"/>
          <w:lang w:eastAsia="ru-RU"/>
        </w:rPr>
      </w:pPr>
      <w:r>
        <w:rPr>
          <w:rFonts w:ascii="Times New Roman" w:hAnsi="Times New Roman" w:eastAsia="Times New Roman"/>
          <w:b/>
          <w:iCs/>
          <w:spacing w:val="-6"/>
          <w:sz w:val="24"/>
          <w:szCs w:val="24"/>
          <w:lang w:eastAsia="ru-RU"/>
        </w:rPr>
        <w:t>введение,</w:t>
      </w:r>
      <w:r>
        <w:rPr>
          <w:rFonts w:ascii="Times New Roman" w:hAnsi="Times New Roman" w:eastAsia="Times New Roman"/>
          <w:iCs/>
          <w:spacing w:val="-6"/>
          <w:sz w:val="24"/>
          <w:szCs w:val="24"/>
          <w:lang w:eastAsia="ru-RU"/>
        </w:rPr>
        <w:t xml:space="preserve"> где должны быть четко сформулированы цель и задачи работы, степень изученности проблемы, сделан краткий литературный обзор, обоснована актуальность исследования, а также указаны место и сроки проведения исследования, при необходимости дана физико-географическая характеристика района исследования и режим хозяйственного использования территории; </w:t>
      </w:r>
    </w:p>
    <w:p w14:paraId="458E1208">
      <w:pPr>
        <w:widowControl w:val="0"/>
        <w:shd w:val="clear" w:color="auto" w:fill="FFFFFF"/>
        <w:tabs>
          <w:tab w:val="left" w:pos="993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hAnsi="Times New Roman" w:eastAsia="Times New Roman"/>
          <w:iCs/>
          <w:spacing w:val="-6"/>
          <w:sz w:val="24"/>
          <w:szCs w:val="24"/>
          <w:lang w:eastAsia="ru-RU"/>
        </w:rPr>
      </w:pPr>
      <w:r>
        <w:rPr>
          <w:rFonts w:ascii="Times New Roman" w:hAnsi="Times New Roman" w:eastAsia="Times New Roman"/>
          <w:b/>
          <w:iCs/>
          <w:spacing w:val="-6"/>
          <w:sz w:val="24"/>
          <w:szCs w:val="24"/>
          <w:lang w:eastAsia="ru-RU"/>
        </w:rPr>
        <w:t>методика исследований</w:t>
      </w:r>
      <w:r>
        <w:rPr>
          <w:rFonts w:ascii="Times New Roman" w:hAnsi="Times New Roman" w:eastAsia="Times New Roman"/>
          <w:iCs/>
          <w:spacing w:val="-6"/>
          <w:sz w:val="24"/>
          <w:szCs w:val="24"/>
          <w:lang w:eastAsia="ru-RU"/>
        </w:rPr>
        <w:t xml:space="preserve"> (описание методики сбора материалов, методы первичной и статистической обработки собранного материала); </w:t>
      </w:r>
    </w:p>
    <w:p w14:paraId="148DF254">
      <w:pPr>
        <w:widowControl w:val="0"/>
        <w:shd w:val="clear" w:color="auto" w:fill="FFFFFF"/>
        <w:tabs>
          <w:tab w:val="left" w:pos="993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hAnsi="Times New Roman" w:eastAsia="Times New Roman"/>
          <w:iCs/>
          <w:spacing w:val="-6"/>
          <w:sz w:val="24"/>
          <w:szCs w:val="24"/>
          <w:lang w:eastAsia="ru-RU"/>
        </w:rPr>
      </w:pPr>
      <w:r>
        <w:rPr>
          <w:rFonts w:ascii="Times New Roman" w:hAnsi="Times New Roman" w:eastAsia="Times New Roman"/>
          <w:b/>
          <w:iCs/>
          <w:spacing w:val="-6"/>
          <w:sz w:val="24"/>
          <w:szCs w:val="24"/>
          <w:lang w:eastAsia="ru-RU"/>
        </w:rPr>
        <w:t>результаты исследований и их обсуждение</w:t>
      </w:r>
      <w:r>
        <w:rPr>
          <w:rFonts w:ascii="Times New Roman" w:hAnsi="Times New Roman" w:eastAsia="Times New Roman"/>
          <w:iCs/>
          <w:spacing w:val="-6"/>
          <w:sz w:val="24"/>
          <w:szCs w:val="24"/>
          <w:lang w:eastAsia="ru-RU"/>
        </w:rPr>
        <w:t xml:space="preserve"> (обязательно приведение всех численных и фактических данных с анализом результатов их обработки), при представлении результатов желательно использование таблиц, диаграмм и графиков; </w:t>
      </w:r>
    </w:p>
    <w:p w14:paraId="116BD5DE">
      <w:pPr>
        <w:widowControl w:val="0"/>
        <w:shd w:val="clear" w:color="auto" w:fill="FFFFFF"/>
        <w:tabs>
          <w:tab w:val="left" w:pos="993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hAnsi="Times New Roman" w:eastAsia="Times New Roman"/>
          <w:iCs/>
          <w:spacing w:val="-6"/>
          <w:sz w:val="24"/>
          <w:szCs w:val="24"/>
          <w:lang w:eastAsia="ru-RU"/>
        </w:rPr>
      </w:pPr>
      <w:r>
        <w:rPr>
          <w:rFonts w:ascii="Times New Roman" w:hAnsi="Times New Roman" w:eastAsia="Times New Roman"/>
          <w:b/>
          <w:iCs/>
          <w:spacing w:val="-6"/>
          <w:sz w:val="24"/>
          <w:szCs w:val="24"/>
          <w:lang w:eastAsia="ru-RU"/>
        </w:rPr>
        <w:t>выводы,</w:t>
      </w:r>
      <w:r>
        <w:rPr>
          <w:rFonts w:ascii="Times New Roman" w:hAnsi="Times New Roman" w:eastAsia="Times New Roman"/>
          <w:iCs/>
          <w:spacing w:val="-6"/>
          <w:sz w:val="24"/>
          <w:szCs w:val="24"/>
          <w:lang w:eastAsia="ru-RU"/>
        </w:rPr>
        <w:t xml:space="preserve"> где приводятся краткие формулировки результатов работы в соответствии с поставленными задачами;</w:t>
      </w:r>
    </w:p>
    <w:p w14:paraId="3963FA7C">
      <w:pPr>
        <w:widowControl w:val="0"/>
        <w:shd w:val="clear" w:color="auto" w:fill="FFFFFF"/>
        <w:tabs>
          <w:tab w:val="left" w:pos="993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hAnsi="Times New Roman" w:eastAsia="Times New Roman"/>
          <w:iCs/>
          <w:spacing w:val="-6"/>
          <w:sz w:val="24"/>
          <w:szCs w:val="24"/>
          <w:lang w:eastAsia="ru-RU"/>
        </w:rPr>
      </w:pPr>
      <w:r>
        <w:rPr>
          <w:rFonts w:ascii="Times New Roman" w:hAnsi="Times New Roman" w:eastAsia="Times New Roman"/>
          <w:b/>
          <w:iCs/>
          <w:spacing w:val="-6"/>
          <w:sz w:val="24"/>
          <w:szCs w:val="24"/>
          <w:lang w:eastAsia="ru-RU"/>
        </w:rPr>
        <w:t xml:space="preserve">заключение, </w:t>
      </w:r>
      <w:r>
        <w:rPr>
          <w:rFonts w:ascii="Times New Roman" w:hAnsi="Times New Roman" w:eastAsia="Times New Roman"/>
          <w:iCs/>
          <w:spacing w:val="-6"/>
          <w:sz w:val="24"/>
          <w:szCs w:val="24"/>
          <w:lang w:eastAsia="ru-RU"/>
        </w:rPr>
        <w:t>где могут быть отмечены лица, принимавшие участие в выполнении и оформлении работы, намечены дальнейшие перспективы работы, указаны практические рекомендации, непосредственно вытекающие из данной исследовательской работы;</w:t>
      </w:r>
    </w:p>
    <w:p w14:paraId="794E2D3B">
      <w:pPr>
        <w:widowControl w:val="0"/>
        <w:shd w:val="clear" w:color="auto" w:fill="FFFFFF"/>
        <w:tabs>
          <w:tab w:val="left" w:pos="993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hAnsi="Times New Roman" w:eastAsia="Times New Roman"/>
          <w:iCs/>
          <w:spacing w:val="-6"/>
          <w:sz w:val="24"/>
          <w:szCs w:val="24"/>
          <w:lang w:eastAsia="ru-RU"/>
        </w:rPr>
      </w:pPr>
      <w:r>
        <w:rPr>
          <w:rFonts w:ascii="Times New Roman" w:hAnsi="Times New Roman" w:eastAsia="Times New Roman"/>
          <w:b/>
          <w:iCs/>
          <w:spacing w:val="-6"/>
          <w:sz w:val="24"/>
          <w:szCs w:val="24"/>
          <w:lang w:eastAsia="ru-RU"/>
        </w:rPr>
        <w:t>список использованной литературы</w:t>
      </w:r>
      <w:r>
        <w:rPr>
          <w:rFonts w:ascii="Times New Roman" w:hAnsi="Times New Roman" w:eastAsia="Times New Roman"/>
          <w:iCs/>
          <w:spacing w:val="-6"/>
          <w:sz w:val="24"/>
          <w:szCs w:val="24"/>
          <w:lang w:eastAsia="ru-RU"/>
        </w:rPr>
        <w:t>, оформленный в соответствии с правилами составления библиографического списка. В тексте работы должны быть ссылки на использованные литературные источники.</w:t>
      </w:r>
    </w:p>
    <w:p w14:paraId="008D7590">
      <w:pPr>
        <w:widowControl w:val="0"/>
        <w:shd w:val="clear" w:color="auto" w:fill="FFFFFF"/>
        <w:tabs>
          <w:tab w:val="left" w:pos="993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hAnsi="Times New Roman" w:eastAsia="Times New Roman"/>
          <w:iCs/>
          <w:spacing w:val="-6"/>
          <w:sz w:val="24"/>
          <w:szCs w:val="24"/>
          <w:lang w:eastAsia="ru-RU"/>
        </w:rPr>
      </w:pPr>
      <w:r>
        <w:rPr>
          <w:rFonts w:ascii="Times New Roman" w:hAnsi="Times New Roman" w:eastAsia="Times New Roman"/>
          <w:iCs/>
          <w:spacing w:val="-6"/>
          <w:sz w:val="24"/>
          <w:szCs w:val="24"/>
          <w:lang w:eastAsia="ru-RU"/>
        </w:rPr>
        <w:t>5.3.</w:t>
      </w:r>
      <w:r>
        <w:rPr>
          <w:rFonts w:ascii="Times New Roman" w:hAnsi="Times New Roman" w:eastAsia="Times New Roman"/>
          <w:iCs/>
          <w:spacing w:val="-6"/>
          <w:sz w:val="24"/>
          <w:szCs w:val="24"/>
          <w:lang w:eastAsia="ru-RU"/>
        </w:rPr>
        <w:tab/>
      </w:r>
      <w:r>
        <w:rPr>
          <w:rFonts w:ascii="Times New Roman" w:hAnsi="Times New Roman" w:eastAsia="Times New Roman"/>
          <w:iCs/>
          <w:spacing w:val="-6"/>
          <w:sz w:val="24"/>
          <w:szCs w:val="24"/>
          <w:lang w:eastAsia="ru-RU"/>
        </w:rPr>
        <w:t>Проектная работа должна содержать:</w:t>
      </w:r>
    </w:p>
    <w:p w14:paraId="40200D89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eastAsia="Times New Roman"/>
          <w:spacing w:val="-6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pacing w:val="-6"/>
          <w:sz w:val="24"/>
          <w:szCs w:val="24"/>
          <w:lang w:eastAsia="ru-RU"/>
        </w:rPr>
        <w:t>- название проекта, указание автора проекта, состав проектной группы, имя научного руководителя;</w:t>
      </w:r>
    </w:p>
    <w:p w14:paraId="3A5999AE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eastAsia="Times New Roman"/>
          <w:spacing w:val="-6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pacing w:val="-6"/>
          <w:sz w:val="24"/>
          <w:szCs w:val="24"/>
          <w:lang w:eastAsia="ru-RU"/>
        </w:rPr>
        <w:t>- краткое описание проекта: цели, задачи, результат проекта (продукт);</w:t>
      </w:r>
    </w:p>
    <w:p w14:paraId="416FB35A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eastAsia="Times New Roman"/>
          <w:spacing w:val="-6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pacing w:val="-6"/>
          <w:sz w:val="24"/>
          <w:szCs w:val="24"/>
          <w:lang w:eastAsia="ru-RU"/>
        </w:rPr>
        <w:t>- этапы проектной работы: даты, основные этапы и краткое содержание проделанной работы, результат на каждом этапе;</w:t>
      </w:r>
    </w:p>
    <w:p w14:paraId="17B4F082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eastAsia="Times New Roman"/>
          <w:spacing w:val="-6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pacing w:val="-6"/>
          <w:sz w:val="24"/>
          <w:szCs w:val="24"/>
          <w:lang w:eastAsia="ru-RU"/>
        </w:rPr>
        <w:t>- материально-техническое обеспечение проекта.</w:t>
      </w:r>
    </w:p>
    <w:p w14:paraId="444109FD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eastAsia="Times New Roman"/>
          <w:spacing w:val="-6"/>
          <w:sz w:val="24"/>
          <w:szCs w:val="24"/>
          <w:lang w:eastAsia="ru-RU"/>
        </w:rPr>
      </w:pPr>
      <w:r>
        <w:rPr>
          <w:rFonts w:ascii="Times New Roman" w:hAnsi="Times New Roman" w:eastAsia="Times New Roman"/>
          <w:b/>
          <w:spacing w:val="-6"/>
          <w:sz w:val="24"/>
          <w:szCs w:val="24"/>
          <w:lang w:eastAsia="ru-RU"/>
        </w:rPr>
        <w:t>Во введении</w:t>
      </w:r>
      <w:r>
        <w:rPr>
          <w:rFonts w:ascii="Times New Roman" w:hAnsi="Times New Roman" w:eastAsia="Times New Roman"/>
          <w:spacing w:val="-6"/>
          <w:sz w:val="24"/>
          <w:szCs w:val="24"/>
          <w:lang w:eastAsia="ru-RU"/>
        </w:rPr>
        <w:t xml:space="preserve"> кратко обосновывается актуальность выбранной темы, цель и содержание поставленных задач, характеристика работы: в чем заключается значимость и (или) прикладная ценность полученных результатов, краткий обзор имеющейся по данной теме литературы.</w:t>
      </w:r>
    </w:p>
    <w:p w14:paraId="23359BE8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eastAsia="Times New Roman"/>
          <w:spacing w:val="-6"/>
          <w:sz w:val="24"/>
          <w:szCs w:val="24"/>
          <w:lang w:eastAsia="ru-RU"/>
        </w:rPr>
      </w:pPr>
      <w:r>
        <w:rPr>
          <w:rFonts w:ascii="Times New Roman" w:hAnsi="Times New Roman" w:eastAsia="Times New Roman"/>
          <w:b/>
          <w:spacing w:val="-6"/>
          <w:sz w:val="24"/>
          <w:szCs w:val="24"/>
          <w:lang w:eastAsia="ru-RU"/>
        </w:rPr>
        <w:t>Основная часть</w:t>
      </w:r>
      <w:r>
        <w:rPr>
          <w:rFonts w:ascii="Times New Roman" w:hAnsi="Times New Roman" w:eastAsia="Times New Roman"/>
          <w:spacing w:val="-6"/>
          <w:sz w:val="24"/>
          <w:szCs w:val="24"/>
          <w:lang w:eastAsia="ru-RU"/>
        </w:rPr>
        <w:t xml:space="preserve"> состоит из двух разделов: теоретического и практического.</w:t>
      </w:r>
    </w:p>
    <w:p w14:paraId="13E62AF4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eastAsia="Times New Roman"/>
          <w:spacing w:val="-6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pacing w:val="-6"/>
          <w:sz w:val="24"/>
          <w:szCs w:val="24"/>
          <w:lang w:eastAsia="ru-RU"/>
        </w:rPr>
        <w:t>Теоретический раздел включает анализ информации, отбор наиболее значимых данных, выстраивание общей логической схемы выводов.</w:t>
      </w:r>
    </w:p>
    <w:p w14:paraId="2338319B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eastAsia="Times New Roman"/>
          <w:spacing w:val="-6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pacing w:val="-6"/>
          <w:sz w:val="24"/>
          <w:szCs w:val="24"/>
          <w:lang w:eastAsia="ru-RU"/>
        </w:rPr>
        <w:t>Практический раздел — описание изготовления проектируемого изделия. Как, при каких условиях (социальных, финансово-экономических и т. д.) некоторый проект (продукт) может быть реализован.</w:t>
      </w:r>
    </w:p>
    <w:p w14:paraId="71A370E4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eastAsia="Times New Roman"/>
          <w:spacing w:val="-6"/>
          <w:sz w:val="24"/>
          <w:szCs w:val="24"/>
          <w:lang w:eastAsia="ru-RU"/>
        </w:rPr>
      </w:pPr>
      <w:r>
        <w:rPr>
          <w:rFonts w:ascii="Times New Roman" w:hAnsi="Times New Roman" w:eastAsia="Times New Roman"/>
          <w:b/>
          <w:spacing w:val="-6"/>
          <w:sz w:val="24"/>
          <w:szCs w:val="24"/>
          <w:lang w:eastAsia="ru-RU"/>
        </w:rPr>
        <w:t xml:space="preserve">Заключение </w:t>
      </w:r>
      <w:r>
        <w:rPr>
          <w:rFonts w:ascii="Times New Roman" w:hAnsi="Times New Roman" w:eastAsia="Times New Roman"/>
          <w:spacing w:val="-6"/>
          <w:sz w:val="24"/>
          <w:szCs w:val="24"/>
          <w:lang w:eastAsia="ru-RU"/>
        </w:rPr>
        <w:t>содержит основные выводы. При оценке экспертами работ учитывается и грамотность изложения текста.</w:t>
      </w:r>
    </w:p>
    <w:p w14:paraId="04078D1A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eastAsia="Times New Roman"/>
          <w:spacing w:val="-6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pacing w:val="-6"/>
          <w:sz w:val="24"/>
          <w:szCs w:val="24"/>
          <w:lang w:eastAsia="ru-RU"/>
        </w:rPr>
        <w:t xml:space="preserve">В конце работы приводится </w:t>
      </w:r>
      <w:r>
        <w:rPr>
          <w:rFonts w:ascii="Times New Roman" w:hAnsi="Times New Roman" w:eastAsia="Times New Roman"/>
          <w:b/>
          <w:spacing w:val="-6"/>
          <w:sz w:val="24"/>
          <w:szCs w:val="24"/>
          <w:lang w:eastAsia="ru-RU"/>
        </w:rPr>
        <w:t>список используемой литературы</w:t>
      </w:r>
      <w:r>
        <w:rPr>
          <w:rFonts w:ascii="Times New Roman" w:hAnsi="Times New Roman" w:eastAsia="Times New Roman"/>
          <w:spacing w:val="-6"/>
          <w:sz w:val="24"/>
          <w:szCs w:val="24"/>
          <w:lang w:eastAsia="ru-RU"/>
        </w:rPr>
        <w:t xml:space="preserve"> (библиографический список). В тексте работы должны быть ссылки на научные источники, ссылки на сайты.</w:t>
      </w:r>
    </w:p>
    <w:p w14:paraId="08363620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eastAsia="Times New Roman"/>
          <w:spacing w:val="-6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pacing w:val="-6"/>
          <w:sz w:val="24"/>
          <w:szCs w:val="24"/>
          <w:lang w:eastAsia="ru-RU"/>
        </w:rPr>
        <w:t>5.4. Приложения</w:t>
      </w:r>
    </w:p>
    <w:p w14:paraId="72099368">
      <w:pPr>
        <w:widowControl w:val="0"/>
        <w:shd w:val="clear" w:color="auto" w:fill="FFFFFF"/>
        <w:tabs>
          <w:tab w:val="left" w:pos="638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eastAsia="Times New Roman"/>
          <w:spacing w:val="-6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pacing w:val="-6"/>
          <w:sz w:val="24"/>
          <w:szCs w:val="24"/>
          <w:lang w:eastAsia="ru-RU"/>
        </w:rPr>
        <w:t xml:space="preserve">Фактические и численные данные, имеющие большой объем, а также рисунки, диаграммы, схемы, карты, фотографии и т.д. могут быть вынесены в конец работы – в приложения или представлены отдельно. Все приложения должны быть </w:t>
      </w:r>
      <w:r>
        <w:rPr>
          <w:rFonts w:ascii="Times New Roman" w:hAnsi="Times New Roman" w:eastAsia="Times New Roman"/>
          <w:iCs/>
          <w:spacing w:val="-6"/>
          <w:sz w:val="24"/>
          <w:szCs w:val="24"/>
          <w:lang w:eastAsia="ru-RU"/>
        </w:rPr>
        <w:t>пронумерованы, озаглавлены,</w:t>
      </w:r>
      <w:r>
        <w:rPr>
          <w:rFonts w:ascii="Times New Roman" w:hAnsi="Times New Roman" w:eastAsia="Times New Roman"/>
          <w:spacing w:val="-6"/>
          <w:sz w:val="24"/>
          <w:szCs w:val="24"/>
          <w:lang w:eastAsia="ru-RU"/>
        </w:rPr>
        <w:t xml:space="preserve"> а основной текст – обеспечен ссылками на соответствующие приложения. </w:t>
      </w:r>
    </w:p>
    <w:p w14:paraId="08F5D31B">
      <w:pPr>
        <w:spacing w:after="0" w:line="240" w:lineRule="auto"/>
        <w:ind w:firstLine="709"/>
        <w:jc w:val="center"/>
        <w:rPr>
          <w:rFonts w:ascii="Times New Roman" w:hAnsi="Times New Roman" w:eastAsia="Times New Roman"/>
          <w:b/>
          <w:sz w:val="24"/>
          <w:szCs w:val="24"/>
          <w:lang w:eastAsia="ru-RU"/>
        </w:rPr>
      </w:pPr>
      <w:r>
        <w:rPr>
          <w:rFonts w:ascii="Times New Roman" w:hAnsi="Times New Roman" w:eastAsia="Times New Roman"/>
          <w:b/>
          <w:sz w:val="24"/>
          <w:szCs w:val="24"/>
          <w:lang w:eastAsia="ru-RU"/>
        </w:rPr>
        <w:t>6. Критерии оценки работ</w:t>
      </w:r>
    </w:p>
    <w:p w14:paraId="0589F2DF">
      <w:pPr>
        <w:pStyle w:val="33"/>
        <w:ind w:firstLine="709"/>
        <w:rPr>
          <w:sz w:val="24"/>
          <w:szCs w:val="24"/>
          <w:lang w:eastAsia="ru-RU"/>
        </w:rPr>
      </w:pPr>
      <w:bookmarkStart w:id="1" w:name="bookmark9"/>
      <w:bookmarkStart w:id="2" w:name="bookmark8"/>
      <w:r>
        <w:rPr>
          <w:sz w:val="24"/>
          <w:szCs w:val="24"/>
          <w:lang w:eastAsia="ru-RU"/>
        </w:rPr>
        <w:t>1. Исследовательская работа:</w:t>
      </w:r>
      <w:bookmarkEnd w:id="1"/>
      <w:bookmarkEnd w:id="2"/>
    </w:p>
    <w:p w14:paraId="17511751">
      <w:pPr>
        <w:widowControl w:val="0"/>
        <w:spacing w:after="0" w:line="240" w:lineRule="auto"/>
        <w:ind w:firstLine="709"/>
        <w:jc w:val="both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>соответствие конкурсной работы требованиям к ее оформлению;</w:t>
      </w:r>
    </w:p>
    <w:p w14:paraId="3CA3DA61">
      <w:pPr>
        <w:pStyle w:val="26"/>
        <w:widowControl w:val="0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 xml:space="preserve">актуальность, новизна и инновационность выбранной темы и ее обоснование; </w:t>
      </w:r>
    </w:p>
    <w:p w14:paraId="0671B399">
      <w:pPr>
        <w:pStyle w:val="26"/>
        <w:widowControl w:val="0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 xml:space="preserve">постановка цели и задач, их соответствие содержанию конкурсной работы; </w:t>
      </w:r>
    </w:p>
    <w:p w14:paraId="019F4442">
      <w:pPr>
        <w:pStyle w:val="26"/>
        <w:widowControl w:val="0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>анализ области исследования (глубина проработанности и осмысления материала, использование литературы);</w:t>
      </w:r>
    </w:p>
    <w:p w14:paraId="0723E286">
      <w:pPr>
        <w:pStyle w:val="26"/>
        <w:widowControl w:val="0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>обоснованность применения методики исследования, полнота ее изложения;</w:t>
      </w:r>
    </w:p>
    <w:p w14:paraId="20638BFF">
      <w:pPr>
        <w:pStyle w:val="26"/>
        <w:widowControl w:val="0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>полнота и достоверность собранного и представленного материала;</w:t>
      </w:r>
    </w:p>
    <w:p w14:paraId="63BD7410">
      <w:pPr>
        <w:pStyle w:val="26"/>
        <w:widowControl w:val="0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>качество представления, наглядность результатов исследования;</w:t>
      </w:r>
    </w:p>
    <w:p w14:paraId="6E4D185F">
      <w:pPr>
        <w:pStyle w:val="26"/>
        <w:widowControl w:val="0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>анализ и обсуждение результатов, обоснованность и значимость выводов;</w:t>
      </w:r>
    </w:p>
    <w:p w14:paraId="7E913A4C">
      <w:pPr>
        <w:pStyle w:val="26"/>
        <w:widowControl w:val="0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>практическая значимость проведенного исследования;</w:t>
      </w:r>
    </w:p>
    <w:p w14:paraId="06A591C4">
      <w:pPr>
        <w:pStyle w:val="26"/>
        <w:widowControl w:val="0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>оригинальность работы должна быть не меньше 70% (проверка на антиплагиат).</w:t>
      </w:r>
    </w:p>
    <w:p w14:paraId="0C60AA4D">
      <w:pPr>
        <w:pStyle w:val="33"/>
        <w:ind w:firstLine="709"/>
        <w:rPr>
          <w:sz w:val="24"/>
          <w:szCs w:val="24"/>
          <w:lang w:eastAsia="ru-RU"/>
        </w:rPr>
      </w:pPr>
      <w:bookmarkStart w:id="3" w:name="bookmark11"/>
      <w:bookmarkStart w:id="4" w:name="bookmark10"/>
      <w:r>
        <w:rPr>
          <w:sz w:val="24"/>
          <w:szCs w:val="24"/>
          <w:lang w:eastAsia="ru-RU"/>
        </w:rPr>
        <w:t>2. Проектная работа:</w:t>
      </w:r>
      <w:bookmarkEnd w:id="3"/>
      <w:bookmarkEnd w:id="4"/>
    </w:p>
    <w:p w14:paraId="5BBB9C30">
      <w:pPr>
        <w:pStyle w:val="26"/>
        <w:widowControl w:val="0"/>
        <w:numPr>
          <w:ilvl w:val="0"/>
          <w:numId w:val="1"/>
        </w:numPr>
        <w:spacing w:after="0" w:line="240" w:lineRule="auto"/>
        <w:ind w:left="0" w:firstLine="709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>соответствие проекта требованиям к его оформлению;</w:t>
      </w:r>
    </w:p>
    <w:p w14:paraId="11F943C3">
      <w:pPr>
        <w:pStyle w:val="26"/>
        <w:widowControl w:val="0"/>
        <w:numPr>
          <w:ilvl w:val="0"/>
          <w:numId w:val="1"/>
        </w:numPr>
        <w:spacing w:after="0" w:line="240" w:lineRule="auto"/>
        <w:ind w:left="0" w:firstLine="709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>обоснование актуальности, новизны и инновационности проектной работы (в том числе наличие в работе элемента научного открытия);</w:t>
      </w:r>
    </w:p>
    <w:p w14:paraId="05AEEEA4">
      <w:pPr>
        <w:pStyle w:val="26"/>
        <w:widowControl w:val="0"/>
        <w:numPr>
          <w:ilvl w:val="0"/>
          <w:numId w:val="1"/>
        </w:numPr>
        <w:spacing w:after="0" w:line="240" w:lineRule="auto"/>
        <w:ind w:left="0" w:firstLine="709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>целеполагание, цельность и завершенность проекта;</w:t>
      </w:r>
    </w:p>
    <w:p w14:paraId="017DA5F8">
      <w:pPr>
        <w:pStyle w:val="26"/>
        <w:widowControl w:val="0"/>
        <w:numPr>
          <w:ilvl w:val="0"/>
          <w:numId w:val="1"/>
        </w:numPr>
        <w:spacing w:after="0" w:line="240" w:lineRule="auto"/>
        <w:ind w:left="0" w:firstLine="709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>анализ данных по проблеме, логичность подачи материала;</w:t>
      </w:r>
    </w:p>
    <w:p w14:paraId="2C31CA45">
      <w:pPr>
        <w:pStyle w:val="26"/>
        <w:widowControl w:val="0"/>
        <w:numPr>
          <w:ilvl w:val="0"/>
          <w:numId w:val="1"/>
        </w:numPr>
        <w:spacing w:after="0" w:line="240" w:lineRule="auto"/>
        <w:ind w:left="0" w:firstLine="709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>собственный вклад в проект и степень самостоятельности участия в реализации проекта;</w:t>
      </w:r>
    </w:p>
    <w:p w14:paraId="278B75E6">
      <w:pPr>
        <w:pStyle w:val="26"/>
        <w:widowControl w:val="0"/>
        <w:numPr>
          <w:ilvl w:val="0"/>
          <w:numId w:val="1"/>
        </w:numPr>
        <w:spacing w:after="0" w:line="240" w:lineRule="auto"/>
        <w:ind w:left="0" w:firstLine="709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>свободное владение темой проекта и научной литературой по теме;</w:t>
      </w:r>
    </w:p>
    <w:p w14:paraId="1562C028">
      <w:pPr>
        <w:pStyle w:val="26"/>
        <w:widowControl w:val="0"/>
        <w:numPr>
          <w:ilvl w:val="0"/>
          <w:numId w:val="1"/>
        </w:numPr>
        <w:spacing w:after="0" w:line="240" w:lineRule="auto"/>
        <w:ind w:left="0" w:firstLine="709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>социальная и практическая значимость проекта: возможность внедрения результатов, расчет экономической эффективности, затраты на реализацию продукта;</w:t>
      </w:r>
    </w:p>
    <w:p w14:paraId="0FEBF6F7">
      <w:pPr>
        <w:pStyle w:val="26"/>
        <w:widowControl w:val="0"/>
        <w:numPr>
          <w:ilvl w:val="0"/>
          <w:numId w:val="1"/>
        </w:numPr>
        <w:spacing w:after="0" w:line="240" w:lineRule="auto"/>
        <w:ind w:left="0" w:firstLine="709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>объём работы и количество предлагаемых решений;</w:t>
      </w:r>
    </w:p>
    <w:p w14:paraId="3BF925FD">
      <w:pPr>
        <w:pStyle w:val="26"/>
        <w:widowControl w:val="0"/>
        <w:numPr>
          <w:ilvl w:val="0"/>
          <w:numId w:val="1"/>
        </w:numPr>
        <w:spacing w:after="0" w:line="240" w:lineRule="auto"/>
        <w:ind w:left="0" w:firstLine="709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>информационное сопровождение проекта;</w:t>
      </w:r>
    </w:p>
    <w:p w14:paraId="6660BEEC">
      <w:pPr>
        <w:pStyle w:val="26"/>
        <w:widowControl w:val="0"/>
        <w:numPr>
          <w:ilvl w:val="0"/>
          <w:numId w:val="1"/>
        </w:numPr>
        <w:spacing w:after="0" w:line="240" w:lineRule="auto"/>
        <w:ind w:left="0" w:firstLine="709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>качество оформления и наглядность представленного материала.</w:t>
      </w:r>
    </w:p>
    <w:p w14:paraId="7B20047F">
      <w:pPr>
        <w:spacing w:after="0" w:line="240" w:lineRule="auto"/>
        <w:ind w:firstLine="709"/>
        <w:jc w:val="center"/>
        <w:rPr>
          <w:rFonts w:ascii="Times New Roman" w:hAnsi="Times New Roman" w:eastAsia="Times New Roman"/>
          <w:b/>
          <w:sz w:val="24"/>
          <w:szCs w:val="24"/>
          <w:lang w:eastAsia="ru-RU"/>
        </w:rPr>
      </w:pPr>
      <w:r>
        <w:rPr>
          <w:rFonts w:ascii="Times New Roman" w:hAnsi="Times New Roman" w:eastAsia="Times New Roman"/>
          <w:b/>
          <w:sz w:val="24"/>
          <w:szCs w:val="24"/>
          <w:lang w:eastAsia="ru-RU"/>
        </w:rPr>
        <w:t>7. Подведение итогов Конкурса</w:t>
      </w:r>
    </w:p>
    <w:p w14:paraId="3819E8C2">
      <w:pPr>
        <w:spacing w:after="0" w:line="240" w:lineRule="auto"/>
        <w:ind w:firstLine="709"/>
        <w:jc w:val="both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>7.1. Подведение итогов Конкурса проводится в соответствии с разработанными критериями.</w:t>
      </w:r>
    </w:p>
    <w:p w14:paraId="3537F167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7.2. Результаты Конкурса после подписания приказа Департамента образования Администрации г.о. Самара размещаются на сайте МБУ ДО «ЦДТ «Ирбис» </w:t>
      </w:r>
      <w:r>
        <w:fldChar w:fldCharType="begin"/>
      </w:r>
      <w:r>
        <w:instrText xml:space="preserve"> HYPERLINK "https://goo.su/H3B2uk" </w:instrText>
      </w:r>
      <w:r>
        <w:fldChar w:fldCharType="separate"/>
      </w:r>
      <w:r>
        <w:rPr>
          <w:rFonts w:ascii="Times New Roman" w:hAnsi="Times New Roman" w:eastAsia="Times New Roman"/>
          <w:color w:val="0000FF" w:themeColor="hyperlink"/>
          <w:sz w:val="24"/>
          <w:szCs w:val="24"/>
          <w:u w:val="single"/>
          <w14:textFill>
            <w14:solidFill>
              <w14:schemeClr w14:val="hlink"/>
            </w14:solidFill>
          </w14:textFill>
        </w:rPr>
        <w:t>https://goo.su/H3B2uk</w:t>
      </w:r>
      <w:r>
        <w:rPr>
          <w:rFonts w:ascii="Times New Roman" w:hAnsi="Times New Roman" w:eastAsia="Times New Roman"/>
          <w:color w:val="0000FF" w:themeColor="hyperlink"/>
          <w:sz w:val="24"/>
          <w:szCs w:val="24"/>
          <w:u w:val="single"/>
          <w14:textFill>
            <w14:solidFill>
              <w14:schemeClr w14:val="hlink"/>
            </w14:solidFill>
          </w14:textFill>
        </w:rPr>
        <w:fldChar w:fldCharType="end"/>
      </w:r>
      <w:r>
        <w:rPr>
          <w:rFonts w:ascii="Times New Roman" w:hAnsi="Times New Roman"/>
          <w:bCs/>
          <w:sz w:val="24"/>
          <w:szCs w:val="24"/>
        </w:rPr>
        <w:t xml:space="preserve"> </w:t>
      </w:r>
    </w:p>
    <w:p w14:paraId="64BB7D9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7.3. Работы победителей Конкурса отправляются в ГБОУ ДОД СОДЭБЦ для участия в заочном этапе регионального конкурса. </w:t>
      </w:r>
    </w:p>
    <w:p w14:paraId="05A3D4E4">
      <w:pPr>
        <w:spacing w:after="0" w:line="240" w:lineRule="auto"/>
        <w:ind w:firstLine="709"/>
        <w:jc w:val="both"/>
        <w:rPr>
          <w:rFonts w:ascii="Times New Roman" w:hAnsi="Times New Roman" w:eastAsia="Times New Roman"/>
          <w:bCs/>
          <w:i/>
          <w:iCs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>Победители окружного этапа з</w:t>
      </w:r>
      <w:r>
        <w:rPr>
          <w:rFonts w:ascii="Times New Roman" w:hAnsi="Times New Roman" w:eastAsia="Times New Roman"/>
          <w:bCs/>
          <w:i/>
          <w:iCs/>
          <w:sz w:val="24"/>
          <w:szCs w:val="24"/>
          <w:lang w:eastAsia="ru-RU"/>
        </w:rPr>
        <w:t xml:space="preserve">аписываются на мероприятие </w:t>
      </w:r>
      <w:r>
        <w:rPr>
          <w:rFonts w:ascii="Times New Roman" w:hAnsi="Times New Roman" w:eastAsia="Times New Roman"/>
          <w:b/>
          <w:i/>
          <w:iCs/>
          <w:sz w:val="24"/>
          <w:szCs w:val="24"/>
          <w:lang w:eastAsia="ru-RU"/>
        </w:rPr>
        <w:t>обязательно</w:t>
      </w:r>
      <w:r>
        <w:rPr>
          <w:rFonts w:ascii="Times New Roman" w:hAnsi="Times New Roman" w:eastAsia="Times New Roman"/>
          <w:bCs/>
          <w:i/>
          <w:iCs/>
          <w:sz w:val="24"/>
          <w:szCs w:val="24"/>
          <w:lang w:eastAsia="ru-RU"/>
        </w:rPr>
        <w:t xml:space="preserve"> через сайт «Навигатор дополнительного образования детей Самарской области» (</w:t>
      </w:r>
      <w:r>
        <w:fldChar w:fldCharType="begin"/>
      </w:r>
      <w:r>
        <w:instrText xml:space="preserve"> HYPERLINK "https://clck.ru/35sWkN" </w:instrText>
      </w:r>
      <w:r>
        <w:fldChar w:fldCharType="separate"/>
      </w:r>
      <w:r>
        <w:rPr>
          <w:rFonts w:ascii="Times New Roman" w:hAnsi="Times New Roman" w:eastAsia="Times New Roman"/>
          <w:color w:val="0000FF" w:themeColor="hyperlink"/>
          <w:sz w:val="24"/>
          <w:szCs w:val="24"/>
          <w:u w:val="single"/>
          <w14:textFill>
            <w14:solidFill>
              <w14:schemeClr w14:val="hlink"/>
            </w14:solidFill>
          </w14:textFill>
        </w:rPr>
        <w:t>https://clck.ru/35sWkN</w:t>
      </w:r>
      <w:r>
        <w:rPr>
          <w:rFonts w:ascii="Times New Roman" w:hAnsi="Times New Roman" w:eastAsia="Times New Roman"/>
          <w:color w:val="0000FF" w:themeColor="hyperlink"/>
          <w:sz w:val="24"/>
          <w:szCs w:val="24"/>
          <w:u w:val="single"/>
          <w14:textFill>
            <w14:solidFill>
              <w14:schemeClr w14:val="hlink"/>
            </w14:solidFill>
          </w14:textFill>
        </w:rPr>
        <w:fldChar w:fldCharType="end"/>
      </w:r>
      <w:r>
        <w:rPr>
          <w:rFonts w:ascii="Times New Roman" w:hAnsi="Times New Roman" w:eastAsia="Times New Roman"/>
          <w:bCs/>
          <w:i/>
          <w:iCs/>
          <w:sz w:val="24"/>
          <w:szCs w:val="24"/>
          <w:lang w:eastAsia="ru-RU"/>
        </w:rPr>
        <w:t xml:space="preserve">) </w:t>
      </w:r>
    </w:p>
    <w:p w14:paraId="14667885">
      <w:pPr>
        <w:spacing w:after="0" w:line="240" w:lineRule="auto"/>
        <w:ind w:firstLine="709"/>
        <w:contextualSpacing/>
        <w:jc w:val="both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>7.4. Дипломы победителям и призерам за 1-3 место подготавливаются на бланках Департамента образования.  Дипломы размещаются в облачном хранилище по  ссылке</w:t>
      </w:r>
      <w:r>
        <w:rPr>
          <w:rFonts w:ascii="Times New Roman" w:hAnsi="Times New Roman"/>
          <w:sz w:val="24"/>
          <w:szCs w:val="24"/>
        </w:rPr>
        <w:t xml:space="preserve"> </w:t>
      </w:r>
      <w:r>
        <w:fldChar w:fldCharType="begin"/>
      </w:r>
      <w:r>
        <w:instrText xml:space="preserve"> HYPERLINK "https://clck.ru/3Dfr47" </w:instrText>
      </w:r>
      <w:r>
        <w:fldChar w:fldCharType="separate"/>
      </w:r>
      <w:r>
        <w:rPr>
          <w:rStyle w:val="7"/>
          <w:rFonts w:ascii="Times New Roman" w:hAnsi="Times New Roman" w:eastAsia="Times New Roman"/>
          <w:sz w:val="24"/>
          <w:szCs w:val="24"/>
          <w:lang w:eastAsia="ru-RU"/>
        </w:rPr>
        <w:t>https://clck.ru/3Dfr47</w:t>
      </w:r>
      <w:r>
        <w:rPr>
          <w:rStyle w:val="7"/>
          <w:rFonts w:ascii="Times New Roman" w:hAnsi="Times New Roman" w:eastAsia="Times New Roman"/>
          <w:sz w:val="24"/>
          <w:szCs w:val="24"/>
          <w:lang w:eastAsia="ru-RU"/>
        </w:rPr>
        <w:fldChar w:fldCharType="end"/>
      </w:r>
      <w:r>
        <w:rPr>
          <w:rFonts w:ascii="Times New Roman" w:hAnsi="Times New Roman" w:eastAsia="Times New Roman"/>
          <w:sz w:val="24"/>
          <w:szCs w:val="24"/>
          <w:lang w:eastAsia="ru-RU"/>
        </w:rPr>
        <w:t xml:space="preserve"> </w:t>
      </w:r>
    </w:p>
    <w:p w14:paraId="5FF02C8E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 xml:space="preserve">7.5. Сертификаты участникам подготавливаются на бланках учреждения - организатора и </w:t>
      </w:r>
      <w:r>
        <w:rPr>
          <w:rFonts w:ascii="Times New Roman" w:hAnsi="Times New Roman"/>
          <w:bCs/>
          <w:sz w:val="24"/>
          <w:szCs w:val="24"/>
        </w:rPr>
        <w:t>размещаются на сайте ЦДТ «Ирбис» и в облачном хранилище.</w:t>
      </w:r>
    </w:p>
    <w:p w14:paraId="20DE152E">
      <w:pPr>
        <w:spacing w:after="0" w:line="240" w:lineRule="auto"/>
        <w:ind w:firstLine="709"/>
        <w:jc w:val="center"/>
        <w:rPr>
          <w:rFonts w:ascii="Times New Roman" w:hAnsi="Times New Roman" w:eastAsia="Times New Roman"/>
          <w:b/>
          <w:sz w:val="24"/>
          <w:szCs w:val="24"/>
          <w:lang w:eastAsia="ru-RU"/>
        </w:rPr>
      </w:pPr>
      <w:r>
        <w:rPr>
          <w:rFonts w:ascii="Times New Roman" w:hAnsi="Times New Roman" w:eastAsia="Times New Roman"/>
          <w:b/>
          <w:sz w:val="24"/>
          <w:szCs w:val="24"/>
          <w:lang w:eastAsia="ru-RU"/>
        </w:rPr>
        <w:t>8. Контакты координаторов Конкурса</w:t>
      </w:r>
    </w:p>
    <w:p w14:paraId="5A735D1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8.1. Функции координаторов Конкурса осуществляет </w:t>
      </w:r>
      <w:r>
        <w:rPr>
          <w:rFonts w:ascii="Times New Roman" w:hAnsi="Times New Roman"/>
          <w:bCs/>
          <w:sz w:val="24"/>
          <w:szCs w:val="24"/>
        </w:rPr>
        <w:t>МБУ ДО «ЦДТ «Ирбис» г.о. Самара</w:t>
      </w:r>
    </w:p>
    <w:p w14:paraId="1A52425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8.2. Участники Конкурса могут обращаться за консультативной помощью:</w:t>
      </w:r>
    </w:p>
    <w:p w14:paraId="3E36201F">
      <w:pPr>
        <w:spacing w:after="0" w:line="240" w:lineRule="auto"/>
        <w:ind w:left="707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по адресу: г.о. Самара, </w:t>
      </w:r>
      <w:r>
        <w:rPr>
          <w:rFonts w:ascii="Times New Roman" w:hAnsi="Times New Roman"/>
          <w:bCs/>
          <w:sz w:val="24"/>
          <w:szCs w:val="24"/>
        </w:rPr>
        <w:t>ул. Металлистов 54а,</w:t>
      </w:r>
      <w:r>
        <w:rPr>
          <w:rFonts w:ascii="Times New Roman" w:hAnsi="Times New Roman"/>
          <w:sz w:val="24"/>
          <w:szCs w:val="24"/>
        </w:rPr>
        <w:t xml:space="preserve"> с 11.00 до 17.00;</w:t>
      </w:r>
    </w:p>
    <w:p w14:paraId="4FEE05B3">
      <w:pPr>
        <w:spacing w:after="0" w:line="240" w:lineRule="auto"/>
        <w:ind w:left="707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по электронной почте: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>
        <w:fldChar w:fldCharType="begin"/>
      </w:r>
      <w:r>
        <w:instrText xml:space="preserve"> HYPERLINK "mailto:cdtirbiskonkurs@gmail.com" </w:instrText>
      </w:r>
      <w:r>
        <w:fldChar w:fldCharType="separate"/>
      </w:r>
      <w:r>
        <w:rPr>
          <w:rFonts w:ascii="Times New Roman" w:hAnsi="Times New Roman"/>
          <w:b/>
          <w:bCs/>
          <w:color w:val="0000FF" w:themeColor="hyperlink"/>
          <w:sz w:val="24"/>
          <w:szCs w:val="24"/>
          <w:u w:val="single"/>
          <w14:textFill>
            <w14:solidFill>
              <w14:schemeClr w14:val="hlink"/>
            </w14:solidFill>
          </w14:textFill>
        </w:rPr>
        <w:t>cdtirbiskonkurs@gmail.com</w:t>
      </w:r>
      <w:r>
        <w:rPr>
          <w:rFonts w:ascii="Times New Roman" w:hAnsi="Times New Roman"/>
          <w:b/>
          <w:bCs/>
          <w:color w:val="0000FF" w:themeColor="hyperlink"/>
          <w:sz w:val="24"/>
          <w:szCs w:val="24"/>
          <w:u w:val="single"/>
          <w14:textFill>
            <w14:solidFill>
              <w14:schemeClr w14:val="hlink"/>
            </w14:solidFill>
          </w14:textFill>
        </w:rPr>
        <w:fldChar w:fldCharType="end"/>
      </w:r>
      <w:r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с пометкой в теме письма Конкурс «Юные исследователи»;</w:t>
      </w:r>
    </w:p>
    <w:p w14:paraId="6B45F0DA">
      <w:pPr>
        <w:spacing w:after="0" w:line="240" w:lineRule="auto"/>
        <w:ind w:left="707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по телефону: (846) 954-53-11</w:t>
      </w:r>
    </w:p>
    <w:p w14:paraId="19AC782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8.3. Ответственными за организационно-методическое сопровождение участников конкурса являются сотрудники МБУ ДО </w:t>
      </w:r>
      <w:r>
        <w:rPr>
          <w:rFonts w:ascii="Times New Roman" w:hAnsi="Times New Roman"/>
          <w:bCs/>
          <w:sz w:val="24"/>
          <w:szCs w:val="24"/>
        </w:rPr>
        <w:t>«ЦДТ «Ирбис» г.о. Самара</w:t>
      </w:r>
      <w:r>
        <w:rPr>
          <w:rFonts w:ascii="Times New Roman" w:hAnsi="Times New Roman"/>
          <w:sz w:val="24"/>
          <w:szCs w:val="24"/>
        </w:rPr>
        <w:t>:</w:t>
      </w:r>
    </w:p>
    <w:p w14:paraId="6A0A433B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Алексин Андрей Юрьевич, методист; Литвиненко Оксана Леонидовна, заместитель директора; Рзаева Наталья Анатольевна, заместитель директора.</w:t>
      </w:r>
    </w:p>
    <w:p w14:paraId="6E5CDE53">
      <w:pPr>
        <w:spacing w:after="0" w:line="240" w:lineRule="auto"/>
        <w:ind w:firstLine="709"/>
        <w:contextualSpacing/>
        <w:jc w:val="right"/>
        <w:rPr>
          <w:rFonts w:ascii="Times New Roman" w:hAnsi="Times New Roman"/>
          <w:b/>
          <w:sz w:val="24"/>
          <w:szCs w:val="24"/>
        </w:rPr>
      </w:pPr>
    </w:p>
    <w:p w14:paraId="47A8D46D">
      <w:pPr>
        <w:spacing w:after="0" w:line="240" w:lineRule="auto"/>
        <w:ind w:firstLine="709"/>
        <w:contextualSpacing/>
        <w:jc w:val="right"/>
        <w:rPr>
          <w:rFonts w:ascii="Times New Roman" w:hAnsi="Times New Roman"/>
          <w:b/>
          <w:sz w:val="24"/>
          <w:szCs w:val="24"/>
        </w:rPr>
      </w:pPr>
    </w:p>
    <w:p w14:paraId="058F86C8">
      <w:pPr>
        <w:spacing w:after="0" w:line="240" w:lineRule="auto"/>
        <w:ind w:firstLine="709"/>
        <w:contextualSpacing/>
        <w:jc w:val="right"/>
        <w:rPr>
          <w:rFonts w:ascii="Times New Roman" w:hAnsi="Times New Roman"/>
          <w:b/>
          <w:sz w:val="24"/>
          <w:szCs w:val="24"/>
        </w:rPr>
      </w:pPr>
    </w:p>
    <w:p w14:paraId="48040A34">
      <w:pPr>
        <w:spacing w:after="0" w:line="240" w:lineRule="auto"/>
        <w:ind w:firstLine="709"/>
        <w:contextualSpacing/>
        <w:jc w:val="right"/>
        <w:rPr>
          <w:rFonts w:ascii="Times New Roman" w:hAnsi="Times New Roman"/>
          <w:b/>
          <w:sz w:val="24"/>
          <w:szCs w:val="24"/>
        </w:rPr>
      </w:pPr>
    </w:p>
    <w:p w14:paraId="0459C2B1">
      <w:pPr>
        <w:spacing w:after="0" w:line="240" w:lineRule="auto"/>
        <w:ind w:firstLine="709"/>
        <w:contextualSpacing/>
        <w:jc w:val="right"/>
        <w:rPr>
          <w:rFonts w:ascii="Times New Roman" w:hAnsi="Times New Roman"/>
          <w:b/>
          <w:sz w:val="24"/>
          <w:szCs w:val="24"/>
        </w:rPr>
      </w:pPr>
    </w:p>
    <w:p w14:paraId="58139C93">
      <w:pPr>
        <w:spacing w:after="0" w:line="240" w:lineRule="auto"/>
        <w:ind w:firstLine="709"/>
        <w:contextualSpacing/>
        <w:jc w:val="righ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Приложение № 1 </w:t>
      </w:r>
    </w:p>
    <w:p w14:paraId="7D859291">
      <w:pPr>
        <w:spacing w:after="0" w:line="240" w:lineRule="auto"/>
        <w:ind w:firstLine="709"/>
        <w:contextualSpacing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(форма заявки на бланке учреждения,</w:t>
      </w:r>
    </w:p>
    <w:p w14:paraId="0FE15647">
      <w:pPr>
        <w:spacing w:after="0" w:line="240" w:lineRule="auto"/>
        <w:ind w:firstLine="709"/>
        <w:contextualSpacing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высылается скан заявки с подписью руководителя и печатью)</w:t>
      </w:r>
    </w:p>
    <w:p w14:paraId="4E46B8B4">
      <w:pPr>
        <w:spacing w:after="0" w:line="240" w:lineRule="auto"/>
        <w:ind w:firstLine="709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348A967F">
      <w:pPr>
        <w:spacing w:after="0" w:line="240" w:lineRule="auto"/>
        <w:ind w:firstLine="709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ЗАЯВКА </w:t>
      </w:r>
    </w:p>
    <w:p w14:paraId="7B569E71">
      <w:pPr>
        <w:spacing w:after="0" w:line="240" w:lineRule="auto"/>
        <w:ind w:firstLine="709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участие в городском этапе Всероссийского конкурса</w:t>
      </w:r>
    </w:p>
    <w:p w14:paraId="458D7902">
      <w:pPr>
        <w:spacing w:after="0" w:line="240" w:lineRule="auto"/>
        <w:ind w:firstLine="709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юных исследователей окружающей среды</w:t>
      </w:r>
    </w:p>
    <w:p w14:paraId="12E5EFAE">
      <w:pPr>
        <w:spacing w:after="0" w:line="240" w:lineRule="auto"/>
        <w:ind w:firstLine="709"/>
        <w:jc w:val="center"/>
        <w:rPr>
          <w:rFonts w:ascii="Times New Roman" w:hAnsi="Times New Roman"/>
          <w:sz w:val="24"/>
          <w:szCs w:val="24"/>
        </w:rPr>
      </w:pPr>
    </w:p>
    <w:tbl>
      <w:tblPr>
        <w:tblStyle w:val="28"/>
        <w:tblW w:w="0" w:type="auto"/>
        <w:tblInd w:w="14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6"/>
        <w:gridCol w:w="1767"/>
        <w:gridCol w:w="1195"/>
        <w:gridCol w:w="1837"/>
        <w:gridCol w:w="1701"/>
        <w:gridCol w:w="1984"/>
      </w:tblGrid>
      <w:tr w14:paraId="0B624D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2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B2224E">
            <w:pPr>
              <w:widowControl w:val="0"/>
              <w:autoSpaceDE w:val="0"/>
              <w:autoSpaceDN w:val="0"/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14:paraId="42804522">
            <w:pPr>
              <w:widowControl w:val="0"/>
              <w:autoSpaceDE w:val="0"/>
              <w:autoSpaceDN w:val="0"/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№</w:t>
            </w: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FC62D6">
            <w:pPr>
              <w:widowControl w:val="0"/>
              <w:autoSpaceDE w:val="0"/>
              <w:autoSpaceDN w:val="0"/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Ф.И.О.</w:t>
            </w:r>
          </w:p>
          <w:p w14:paraId="2DBD89C3">
            <w:pPr>
              <w:widowControl w:val="0"/>
              <w:autoSpaceDE w:val="0"/>
              <w:autoSpaceDN w:val="0"/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участника конкурса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2B00EC">
            <w:pPr>
              <w:widowControl w:val="0"/>
              <w:autoSpaceDE w:val="0"/>
              <w:autoSpaceDN w:val="0"/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Класс, возраст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A9A8A2">
            <w:pPr>
              <w:widowControl w:val="0"/>
              <w:autoSpaceDE w:val="0"/>
              <w:autoSpaceDN w:val="0"/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Название работы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D73EE2">
            <w:pPr>
              <w:widowControl w:val="0"/>
              <w:autoSpaceDE w:val="0"/>
              <w:autoSpaceDN w:val="0"/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Ф.И.О.</w:t>
            </w:r>
          </w:p>
          <w:p w14:paraId="5AB18D2E">
            <w:pPr>
              <w:widowControl w:val="0"/>
              <w:autoSpaceDE w:val="0"/>
              <w:autoSpaceDN w:val="0"/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руководителя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08CF3E">
            <w:pPr>
              <w:widowControl w:val="0"/>
              <w:autoSpaceDE w:val="0"/>
              <w:autoSpaceDN w:val="0"/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Номинация</w:t>
            </w:r>
          </w:p>
        </w:tc>
      </w:tr>
      <w:tr w14:paraId="30F3E3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6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09E7B8B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271A4D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6133CF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4EC84B4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B270C8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FAB9255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</w:tbl>
    <w:p w14:paraId="7D35F2F8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hAnsi="Times New Roman" w:eastAsia="Times New Roman"/>
          <w:sz w:val="24"/>
          <w:szCs w:val="24"/>
        </w:rPr>
      </w:pPr>
    </w:p>
    <w:p w14:paraId="625BD392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hAnsi="Times New Roman" w:eastAsia="Times New Roman"/>
          <w:sz w:val="24"/>
          <w:szCs w:val="24"/>
        </w:rPr>
      </w:pPr>
      <w:r>
        <w:rPr>
          <w:rFonts w:ascii="Times New Roman" w:hAnsi="Times New Roman" w:eastAsia="Times New Roman"/>
          <w:sz w:val="24"/>
          <w:szCs w:val="24"/>
        </w:rPr>
        <w:t>Сотовый телефон контакта и электронная почта ответственного лица</w:t>
      </w:r>
    </w:p>
    <w:p w14:paraId="430ECD64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14:paraId="7D8E6620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Директор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_______________________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                     И.О. Фамилия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</w:p>
    <w:p w14:paraId="374CDC8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М.П.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(Подпись)</w:t>
      </w:r>
      <w:r>
        <w:rPr>
          <w:rFonts w:ascii="Times New Roman" w:hAnsi="Times New Roman"/>
          <w:sz w:val="24"/>
          <w:szCs w:val="24"/>
        </w:rPr>
        <w:tab/>
      </w:r>
    </w:p>
    <w:p w14:paraId="336F9CF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sectPr>
      <w:footerReference r:id="rId5" w:type="default"/>
      <w:pgSz w:w="11906" w:h="16838"/>
      <w:pgMar w:top="1134" w:right="567" w:bottom="1134" w:left="1701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Cambria">
    <w:panose1 w:val="02040503050406030204"/>
    <w:charset w:val="CC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ourier New">
    <w:panose1 w:val="02070309020205020404"/>
    <w:charset w:val="CC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846850133"/>
      <w:docPartObj>
        <w:docPartGallery w:val="AutoText"/>
      </w:docPartObj>
    </w:sdtPr>
    <w:sdtContent>
      <w:p w14:paraId="38E6300D">
        <w:pPr>
          <w:pStyle w:val="21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 w14:paraId="15EDE226">
    <w:pPr>
      <w:pStyle w:val="21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0864D4C"/>
    <w:multiLevelType w:val="multilevel"/>
    <w:tmpl w:val="60864D4C"/>
    <w:lvl w:ilvl="0" w:tentative="0">
      <w:start w:val="1"/>
      <w:numFmt w:val="bullet"/>
      <w:lvlText w:val=""/>
      <w:lvlJc w:val="left"/>
      <w:pPr>
        <w:ind w:left="1429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49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69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589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309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029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49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69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189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7646"/>
    <w:rsid w:val="00007646"/>
    <w:rsid w:val="00017A48"/>
    <w:rsid w:val="000F6FE0"/>
    <w:rsid w:val="001047F0"/>
    <w:rsid w:val="001056B7"/>
    <w:rsid w:val="0012684D"/>
    <w:rsid w:val="0017513F"/>
    <w:rsid w:val="00180D04"/>
    <w:rsid w:val="001E1811"/>
    <w:rsid w:val="001F5E04"/>
    <w:rsid w:val="00253FFE"/>
    <w:rsid w:val="00263A4A"/>
    <w:rsid w:val="00291DD6"/>
    <w:rsid w:val="002B55EE"/>
    <w:rsid w:val="002E55EB"/>
    <w:rsid w:val="0031337C"/>
    <w:rsid w:val="00327867"/>
    <w:rsid w:val="003664ED"/>
    <w:rsid w:val="003761DE"/>
    <w:rsid w:val="003854C2"/>
    <w:rsid w:val="003A1E51"/>
    <w:rsid w:val="003B1BAE"/>
    <w:rsid w:val="003F64B1"/>
    <w:rsid w:val="00416936"/>
    <w:rsid w:val="004541E6"/>
    <w:rsid w:val="004D68AC"/>
    <w:rsid w:val="004F3209"/>
    <w:rsid w:val="0051596F"/>
    <w:rsid w:val="005758FE"/>
    <w:rsid w:val="00596C80"/>
    <w:rsid w:val="006404C5"/>
    <w:rsid w:val="006B562C"/>
    <w:rsid w:val="006D3530"/>
    <w:rsid w:val="00753022"/>
    <w:rsid w:val="00774B26"/>
    <w:rsid w:val="00786443"/>
    <w:rsid w:val="0079050C"/>
    <w:rsid w:val="007D1E7E"/>
    <w:rsid w:val="007E647F"/>
    <w:rsid w:val="00833D8F"/>
    <w:rsid w:val="00841ACC"/>
    <w:rsid w:val="00864D56"/>
    <w:rsid w:val="008B76AE"/>
    <w:rsid w:val="008E5CDC"/>
    <w:rsid w:val="00912D31"/>
    <w:rsid w:val="00912DFA"/>
    <w:rsid w:val="0095606C"/>
    <w:rsid w:val="0098265C"/>
    <w:rsid w:val="009B4ADF"/>
    <w:rsid w:val="00A011E5"/>
    <w:rsid w:val="00A353C6"/>
    <w:rsid w:val="00A56E48"/>
    <w:rsid w:val="00A63217"/>
    <w:rsid w:val="00AB1646"/>
    <w:rsid w:val="00AB2630"/>
    <w:rsid w:val="00B11F95"/>
    <w:rsid w:val="00BB7559"/>
    <w:rsid w:val="00BF1E50"/>
    <w:rsid w:val="00BF46FC"/>
    <w:rsid w:val="00CA222D"/>
    <w:rsid w:val="00CC5938"/>
    <w:rsid w:val="00CE0BDA"/>
    <w:rsid w:val="00CE3F01"/>
    <w:rsid w:val="00D24082"/>
    <w:rsid w:val="00D42625"/>
    <w:rsid w:val="00DA00D5"/>
    <w:rsid w:val="00DA43C4"/>
    <w:rsid w:val="00E16EE9"/>
    <w:rsid w:val="00E30483"/>
    <w:rsid w:val="00E64BB5"/>
    <w:rsid w:val="00E94F03"/>
    <w:rsid w:val="00EC2C09"/>
    <w:rsid w:val="00ED1F20"/>
    <w:rsid w:val="00EE7D64"/>
    <w:rsid w:val="00F029B8"/>
    <w:rsid w:val="00FA0F80"/>
    <w:rsid w:val="00FE3932"/>
    <w:rsid w:val="5CA71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semiHidden="0" w:name="toc 2"/>
    <w:lsdException w:qFormat="1" w:uiPriority="39" w:semiHidden="0" w:name="toc 3"/>
    <w:lsdException w:uiPriority="39" w:semiHidden="0" w:name="toc 4"/>
    <w:lsdException w:uiPriority="39" w:semiHidden="0" w:name="toc 5"/>
    <w:lsdException w:uiPriority="39" w:semiHidden="0" w:name="toc 6"/>
    <w:lsdException w:uiPriority="39" w:semiHidden="0" w:name="toc 7"/>
    <w:lsdException w:uiPriority="39" w:semiHidden="0" w:name="toc 8"/>
    <w:lsdException w:uiPriority="39" w:semiHidden="0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1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0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="Calibri" w:cs="Times New Roman"/>
      <w:sz w:val="22"/>
      <w:szCs w:val="22"/>
      <w:lang w:val="ru-RU" w:eastAsia="en-US" w:bidi="ar-SA"/>
    </w:rPr>
  </w:style>
  <w:style w:type="paragraph" w:styleId="2">
    <w:name w:val="heading 1"/>
    <w:basedOn w:val="1"/>
    <w:link w:val="31"/>
    <w:qFormat/>
    <w:uiPriority w:val="1"/>
    <w:pPr>
      <w:widowControl w:val="0"/>
      <w:autoSpaceDE w:val="0"/>
      <w:autoSpaceDN w:val="0"/>
      <w:spacing w:after="0" w:line="240" w:lineRule="auto"/>
      <w:ind w:left="930"/>
      <w:jc w:val="both"/>
      <w:outlineLvl w:val="0"/>
    </w:pPr>
    <w:rPr>
      <w:rFonts w:ascii="Times New Roman" w:hAnsi="Times New Roman" w:eastAsia="Times New Roman"/>
      <w:b/>
      <w:bCs/>
      <w:sz w:val="28"/>
      <w:szCs w:val="28"/>
    </w:rPr>
  </w:style>
  <w:style w:type="paragraph" w:styleId="3">
    <w:name w:val="heading 2"/>
    <w:basedOn w:val="1"/>
    <w:next w:val="1"/>
    <w:link w:val="40"/>
    <w:semiHidden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FollowedHyperlink"/>
    <w:basedOn w:val="4"/>
    <w:semiHidden/>
    <w:unhideWhenUsed/>
    <w:qFormat/>
    <w:uiPriority w:val="99"/>
    <w:rPr>
      <w:color w:val="800080"/>
      <w:u w:val="single"/>
    </w:rPr>
  </w:style>
  <w:style w:type="character" w:styleId="7">
    <w:name w:val="Hyperlink"/>
    <w:basedOn w:val="4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8">
    <w:name w:val="Strong"/>
    <w:basedOn w:val="4"/>
    <w:qFormat/>
    <w:uiPriority w:val="22"/>
    <w:rPr>
      <w:b/>
      <w:bCs/>
    </w:rPr>
  </w:style>
  <w:style w:type="paragraph" w:styleId="9">
    <w:name w:val="Balloon Text"/>
    <w:basedOn w:val="1"/>
    <w:link w:val="39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10">
    <w:name w:val="toc 8"/>
    <w:basedOn w:val="1"/>
    <w:next w:val="1"/>
    <w:autoRedefine/>
    <w:unhideWhenUsed/>
    <w:uiPriority w:val="39"/>
    <w:pPr>
      <w:spacing w:after="100"/>
      <w:ind w:left="1540"/>
    </w:pPr>
    <w:rPr>
      <w:rFonts w:asciiTheme="minorHAnsi" w:hAnsiTheme="minorHAnsi" w:eastAsiaTheme="minorEastAsia" w:cstheme="minorBidi"/>
      <w:lang w:eastAsia="ru-RU"/>
    </w:rPr>
  </w:style>
  <w:style w:type="paragraph" w:styleId="11">
    <w:name w:val="header"/>
    <w:basedOn w:val="1"/>
    <w:link w:val="36"/>
    <w:unhideWhenUsed/>
    <w:qFormat/>
    <w:uiPriority w:val="99"/>
    <w:pPr>
      <w:tabs>
        <w:tab w:val="center" w:pos="4677"/>
        <w:tab w:val="right" w:pos="9355"/>
      </w:tabs>
      <w:spacing w:after="0" w:line="240" w:lineRule="auto"/>
    </w:pPr>
  </w:style>
  <w:style w:type="paragraph" w:styleId="12">
    <w:name w:val="toc 9"/>
    <w:basedOn w:val="1"/>
    <w:next w:val="1"/>
    <w:autoRedefine/>
    <w:unhideWhenUsed/>
    <w:uiPriority w:val="39"/>
    <w:pPr>
      <w:spacing w:after="100"/>
      <w:ind w:left="1760"/>
    </w:pPr>
    <w:rPr>
      <w:rFonts w:asciiTheme="minorHAnsi" w:hAnsiTheme="minorHAnsi" w:eastAsiaTheme="minorEastAsia" w:cstheme="minorBidi"/>
      <w:lang w:eastAsia="ru-RU"/>
    </w:rPr>
  </w:style>
  <w:style w:type="paragraph" w:styleId="13">
    <w:name w:val="toc 7"/>
    <w:basedOn w:val="1"/>
    <w:next w:val="1"/>
    <w:autoRedefine/>
    <w:unhideWhenUsed/>
    <w:uiPriority w:val="39"/>
    <w:pPr>
      <w:spacing w:after="100"/>
      <w:ind w:left="1320"/>
    </w:pPr>
    <w:rPr>
      <w:rFonts w:asciiTheme="minorHAnsi" w:hAnsiTheme="minorHAnsi" w:eastAsiaTheme="minorEastAsia" w:cstheme="minorBidi"/>
      <w:lang w:eastAsia="ru-RU"/>
    </w:rPr>
  </w:style>
  <w:style w:type="paragraph" w:styleId="14">
    <w:name w:val="Body Text"/>
    <w:basedOn w:val="1"/>
    <w:link w:val="32"/>
    <w:semiHidden/>
    <w:unhideWhenUsed/>
    <w:qFormat/>
    <w:uiPriority w:val="1"/>
    <w:pPr>
      <w:widowControl w:val="0"/>
      <w:autoSpaceDE w:val="0"/>
      <w:autoSpaceDN w:val="0"/>
      <w:spacing w:after="0" w:line="240" w:lineRule="auto"/>
      <w:ind w:left="222"/>
    </w:pPr>
    <w:rPr>
      <w:rFonts w:ascii="Times New Roman" w:hAnsi="Times New Roman" w:eastAsia="Times New Roman"/>
      <w:sz w:val="28"/>
      <w:szCs w:val="28"/>
    </w:rPr>
  </w:style>
  <w:style w:type="paragraph" w:styleId="15">
    <w:name w:val="toc 1"/>
    <w:basedOn w:val="1"/>
    <w:next w:val="1"/>
    <w:autoRedefine/>
    <w:unhideWhenUsed/>
    <w:qFormat/>
    <w:uiPriority w:val="39"/>
    <w:pPr>
      <w:spacing w:after="100"/>
    </w:pPr>
  </w:style>
  <w:style w:type="paragraph" w:styleId="16">
    <w:name w:val="toc 6"/>
    <w:basedOn w:val="1"/>
    <w:next w:val="1"/>
    <w:autoRedefine/>
    <w:unhideWhenUsed/>
    <w:uiPriority w:val="39"/>
    <w:pPr>
      <w:spacing w:after="100"/>
      <w:ind w:left="1100"/>
    </w:pPr>
    <w:rPr>
      <w:rFonts w:asciiTheme="minorHAnsi" w:hAnsiTheme="minorHAnsi" w:eastAsiaTheme="minorEastAsia" w:cstheme="minorBidi"/>
      <w:lang w:eastAsia="ru-RU"/>
    </w:rPr>
  </w:style>
  <w:style w:type="paragraph" w:styleId="17">
    <w:name w:val="toc 3"/>
    <w:basedOn w:val="1"/>
    <w:next w:val="1"/>
    <w:autoRedefine/>
    <w:unhideWhenUsed/>
    <w:qFormat/>
    <w:uiPriority w:val="39"/>
    <w:pPr>
      <w:spacing w:after="100"/>
      <w:ind w:left="440"/>
    </w:pPr>
    <w:rPr>
      <w:rFonts w:asciiTheme="minorHAnsi" w:hAnsiTheme="minorHAnsi" w:eastAsiaTheme="minorEastAsia" w:cstheme="minorBidi"/>
      <w:lang w:eastAsia="ru-RU"/>
    </w:rPr>
  </w:style>
  <w:style w:type="paragraph" w:styleId="18">
    <w:name w:val="toc 2"/>
    <w:basedOn w:val="1"/>
    <w:next w:val="1"/>
    <w:autoRedefine/>
    <w:unhideWhenUsed/>
    <w:uiPriority w:val="39"/>
    <w:pPr>
      <w:spacing w:after="100"/>
      <w:ind w:left="220"/>
    </w:pPr>
  </w:style>
  <w:style w:type="paragraph" w:styleId="19">
    <w:name w:val="toc 4"/>
    <w:basedOn w:val="1"/>
    <w:next w:val="1"/>
    <w:autoRedefine/>
    <w:unhideWhenUsed/>
    <w:uiPriority w:val="39"/>
    <w:pPr>
      <w:spacing w:after="100"/>
      <w:ind w:left="660"/>
    </w:pPr>
    <w:rPr>
      <w:rFonts w:asciiTheme="minorHAnsi" w:hAnsiTheme="minorHAnsi" w:eastAsiaTheme="minorEastAsia" w:cstheme="minorBidi"/>
      <w:lang w:eastAsia="ru-RU"/>
    </w:rPr>
  </w:style>
  <w:style w:type="paragraph" w:styleId="20">
    <w:name w:val="toc 5"/>
    <w:basedOn w:val="1"/>
    <w:next w:val="1"/>
    <w:autoRedefine/>
    <w:unhideWhenUsed/>
    <w:uiPriority w:val="39"/>
    <w:pPr>
      <w:spacing w:after="100"/>
      <w:ind w:left="880"/>
    </w:pPr>
    <w:rPr>
      <w:rFonts w:asciiTheme="minorHAnsi" w:hAnsiTheme="minorHAnsi" w:eastAsiaTheme="minorEastAsia" w:cstheme="minorBidi"/>
      <w:lang w:eastAsia="ru-RU"/>
    </w:rPr>
  </w:style>
  <w:style w:type="paragraph" w:styleId="21">
    <w:name w:val="footer"/>
    <w:basedOn w:val="1"/>
    <w:link w:val="37"/>
    <w:unhideWhenUsed/>
    <w:qFormat/>
    <w:uiPriority w:val="99"/>
    <w:pPr>
      <w:tabs>
        <w:tab w:val="center" w:pos="4677"/>
        <w:tab w:val="right" w:pos="9355"/>
      </w:tabs>
      <w:spacing w:after="0" w:line="240" w:lineRule="auto"/>
    </w:pPr>
  </w:style>
  <w:style w:type="paragraph" w:styleId="22">
    <w:name w:val="Normal (Web)"/>
    <w:basedOn w:val="1"/>
    <w:unhideWhenUsed/>
    <w:qFormat/>
    <w:uiPriority w:val="99"/>
    <w:pPr>
      <w:suppressAutoHyphens/>
      <w:spacing w:beforeAutospacing="1" w:after="160" w:afterAutospacing="1" w:line="240" w:lineRule="auto"/>
    </w:pPr>
    <w:rPr>
      <w:rFonts w:ascii="Times New Roman" w:hAnsi="Times New Roman" w:eastAsia="Times New Roman"/>
      <w:sz w:val="24"/>
      <w:szCs w:val="24"/>
      <w:lang w:eastAsia="ru-RU"/>
    </w:rPr>
  </w:style>
  <w:style w:type="table" w:styleId="23">
    <w:name w:val="Table Grid"/>
    <w:basedOn w:val="5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4">
    <w:name w:val="Сетка таблицы1"/>
    <w:basedOn w:val="5"/>
    <w:qFormat/>
    <w:uiPriority w:val="59"/>
    <w:pPr>
      <w:spacing w:after="0" w:line="240" w:lineRule="auto"/>
    </w:pPr>
    <w:rPr>
      <w:rFonts w:ascii="Calibri" w:hAnsi="Calibri" w:eastAsia="Times New Roman" w:cs="Times New Roman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25">
    <w:name w:val="Table Normal1"/>
    <w:semiHidden/>
    <w:qFormat/>
    <w:uiPriority w:val="2"/>
    <w:pPr>
      <w:widowControl w:val="0"/>
      <w:autoSpaceDE w:val="0"/>
      <w:autoSpaceDN w:val="0"/>
      <w:spacing w:after="0" w:line="240" w:lineRule="auto"/>
    </w:pPr>
    <w:rPr>
      <w:rFonts w:ascii="Calibri" w:hAnsi="Calibri" w:eastAsia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26">
    <w:name w:val="List Paragraph"/>
    <w:basedOn w:val="1"/>
    <w:qFormat/>
    <w:uiPriority w:val="0"/>
    <w:pPr>
      <w:ind w:left="720"/>
      <w:contextualSpacing/>
    </w:pPr>
  </w:style>
  <w:style w:type="paragraph" w:customStyle="1" w:styleId="27">
    <w:name w:val="Основной текст с отступом 21"/>
    <w:basedOn w:val="1"/>
    <w:qFormat/>
    <w:uiPriority w:val="0"/>
    <w:pPr>
      <w:suppressAutoHyphens/>
      <w:spacing w:after="0" w:line="240" w:lineRule="auto"/>
      <w:ind w:firstLine="709"/>
      <w:jc w:val="both"/>
    </w:pPr>
    <w:rPr>
      <w:rFonts w:ascii="Times New Roman" w:hAnsi="Times New Roman" w:eastAsia="Times New Roman"/>
      <w:sz w:val="28"/>
      <w:szCs w:val="20"/>
      <w:lang w:eastAsia="ar-SA"/>
    </w:rPr>
  </w:style>
  <w:style w:type="table" w:customStyle="1" w:styleId="28">
    <w:name w:val="Table Normal"/>
    <w:semiHidden/>
    <w:qFormat/>
    <w:uiPriority w:val="2"/>
    <w:pPr>
      <w:widowControl w:val="0"/>
      <w:autoSpaceDE w:val="0"/>
      <w:autoSpaceDN w:val="0"/>
      <w:spacing w:after="0" w:line="240" w:lineRule="auto"/>
    </w:pPr>
    <w:rPr>
      <w:rFonts w:ascii="Calibri" w:hAnsi="Calibri" w:eastAsia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9">
    <w:name w:val="Сетка таблицы2"/>
    <w:basedOn w:val="5"/>
    <w:qFormat/>
    <w:uiPriority w:val="59"/>
    <w:pPr>
      <w:spacing w:after="0" w:line="240" w:lineRule="auto"/>
    </w:pPr>
    <w:rPr>
      <w:rFonts w:ascii="Calibri" w:hAnsi="Calibri" w:eastAsia="Calibri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30">
    <w:name w:val="Сетка таблицы11"/>
    <w:basedOn w:val="5"/>
    <w:qFormat/>
    <w:uiPriority w:val="59"/>
    <w:pPr>
      <w:spacing w:after="0" w:line="240" w:lineRule="auto"/>
    </w:pPr>
    <w:rPr>
      <w:rFonts w:ascii="Calibri" w:hAnsi="Calibri" w:eastAsia="Calibri" w:cs="Calibri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31">
    <w:name w:val="Заголовок 1 Знак"/>
    <w:basedOn w:val="4"/>
    <w:link w:val="2"/>
    <w:qFormat/>
    <w:uiPriority w:val="1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32">
    <w:name w:val="Основной текст Знак"/>
    <w:basedOn w:val="4"/>
    <w:link w:val="14"/>
    <w:semiHidden/>
    <w:uiPriority w:val="1"/>
    <w:rPr>
      <w:rFonts w:ascii="Times New Roman" w:hAnsi="Times New Roman" w:eastAsia="Times New Roman" w:cs="Times New Roman"/>
      <w:sz w:val="28"/>
      <w:szCs w:val="28"/>
    </w:rPr>
  </w:style>
  <w:style w:type="paragraph" w:customStyle="1" w:styleId="33">
    <w:name w:val="Table Paragraph"/>
    <w:basedOn w:val="1"/>
    <w:qFormat/>
    <w:uiPriority w:val="1"/>
    <w:pPr>
      <w:widowControl w:val="0"/>
      <w:autoSpaceDE w:val="0"/>
      <w:autoSpaceDN w:val="0"/>
      <w:spacing w:after="0" w:line="240" w:lineRule="auto"/>
    </w:pPr>
    <w:rPr>
      <w:rFonts w:ascii="Times New Roman" w:hAnsi="Times New Roman" w:eastAsia="Times New Roman"/>
    </w:rPr>
  </w:style>
  <w:style w:type="table" w:customStyle="1" w:styleId="34">
    <w:name w:val="Table Normal2"/>
    <w:semiHidden/>
    <w:qFormat/>
    <w:uiPriority w:val="2"/>
    <w:pPr>
      <w:widowControl w:val="0"/>
      <w:autoSpaceDE w:val="0"/>
      <w:autoSpaceDN w:val="0"/>
      <w:spacing w:after="0" w:line="240" w:lineRule="auto"/>
    </w:pPr>
    <w:rPr>
      <w:rFonts w:ascii="Calibri" w:hAnsi="Calibri" w:eastAsia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35">
    <w:name w:val="No Spacing"/>
    <w:qFormat/>
    <w:uiPriority w:val="1"/>
    <w:pPr>
      <w:suppressAutoHyphens/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customStyle="1" w:styleId="36">
    <w:name w:val="Верхний колонтитул Знак"/>
    <w:basedOn w:val="4"/>
    <w:link w:val="11"/>
    <w:uiPriority w:val="99"/>
    <w:rPr>
      <w:rFonts w:ascii="Calibri" w:hAnsi="Calibri" w:eastAsia="Calibri" w:cs="Times New Roman"/>
    </w:rPr>
  </w:style>
  <w:style w:type="character" w:customStyle="1" w:styleId="37">
    <w:name w:val="Нижний колонтитул Знак"/>
    <w:basedOn w:val="4"/>
    <w:link w:val="21"/>
    <w:qFormat/>
    <w:uiPriority w:val="99"/>
    <w:rPr>
      <w:rFonts w:ascii="Calibri" w:hAnsi="Calibri" w:eastAsia="Calibri" w:cs="Times New Roman"/>
    </w:rPr>
  </w:style>
  <w:style w:type="paragraph" w:customStyle="1" w:styleId="38">
    <w:name w:val="TOC Heading"/>
    <w:basedOn w:val="2"/>
    <w:next w:val="1"/>
    <w:semiHidden/>
    <w:unhideWhenUsed/>
    <w:qFormat/>
    <w:uiPriority w:val="39"/>
    <w:pPr>
      <w:keepNext/>
      <w:keepLines/>
      <w:widowControl/>
      <w:autoSpaceDE/>
      <w:autoSpaceDN/>
      <w:spacing w:before="480" w:line="276" w:lineRule="auto"/>
      <w:ind w:left="0"/>
      <w:jc w:val="left"/>
      <w:outlineLvl w:val="9"/>
    </w:pPr>
    <w:rPr>
      <w:rFonts w:asciiTheme="majorHAnsi" w:hAnsiTheme="majorHAnsi" w:eastAsiaTheme="majorEastAsia" w:cstheme="majorBidi"/>
      <w:color w:val="376092" w:themeColor="accent1" w:themeShade="BF"/>
      <w:lang w:eastAsia="ru-RU"/>
    </w:rPr>
  </w:style>
  <w:style w:type="character" w:customStyle="1" w:styleId="39">
    <w:name w:val="Текст выноски Знак"/>
    <w:basedOn w:val="4"/>
    <w:link w:val="9"/>
    <w:semiHidden/>
    <w:qFormat/>
    <w:uiPriority w:val="99"/>
    <w:rPr>
      <w:rFonts w:ascii="Tahoma" w:hAnsi="Tahoma" w:eastAsia="Calibri" w:cs="Tahoma"/>
      <w:sz w:val="16"/>
      <w:szCs w:val="16"/>
    </w:rPr>
  </w:style>
  <w:style w:type="character" w:customStyle="1" w:styleId="40">
    <w:name w:val="Заголовок 2 Знак"/>
    <w:basedOn w:val="4"/>
    <w:link w:val="3"/>
    <w:semiHidden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D5FEAB-01CA-4912-AD61-145FF9E4A42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3283</Words>
  <Characters>18718</Characters>
  <Lines>155</Lines>
  <Paragraphs>43</Paragraphs>
  <TotalTime>427</TotalTime>
  <ScaleCrop>false</ScaleCrop>
  <LinksUpToDate>false</LinksUpToDate>
  <CharactersWithSpaces>21958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2024-07-16T11:46:00Z</dcterms:created>
  <dc:creator>Пользователь</dc:creator>
  <cp:lastModifiedBy>darja</cp:lastModifiedBy>
  <cp:lastPrinted>2024-10-03T11:13:00Z</cp:lastPrinted>
  <dcterms:modified xsi:type="dcterms:W3CDTF">2025-10-03T09:00:23Z</dcterms:modified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1049-12.2.0.21931</vt:lpwstr>
  </property>
  <property fmtid="{D5CDD505-2E9C-101B-9397-08002B2CF9AE}" pid="3" name="ICV">
    <vt:lpwstr>C43220A6BA3A4AF6B64959E5921EB3D1_13</vt:lpwstr>
  </property>
</Properties>
</file>